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A6" w:rsidRDefault="002611A6" w:rsidP="002611A6">
      <w:pPr>
        <w:ind w:firstLineChars="200" w:firstLine="560"/>
        <w:jc w:val="left"/>
        <w:rPr>
          <w:sz w:val="28"/>
          <w:szCs w:val="28"/>
        </w:rPr>
      </w:pPr>
    </w:p>
    <w:p w:rsidR="002611A6" w:rsidRDefault="002611A6" w:rsidP="002611A6">
      <w:pPr>
        <w:ind w:firstLineChars="200" w:firstLine="560"/>
        <w:jc w:val="left"/>
        <w:rPr>
          <w:sz w:val="28"/>
          <w:szCs w:val="28"/>
        </w:rPr>
      </w:pPr>
    </w:p>
    <w:p w:rsidR="002611A6" w:rsidRDefault="002611A6" w:rsidP="002611A6">
      <w:pPr>
        <w:ind w:firstLineChars="200" w:firstLine="560"/>
        <w:jc w:val="left"/>
        <w:rPr>
          <w:sz w:val="28"/>
          <w:szCs w:val="28"/>
        </w:rPr>
      </w:pPr>
    </w:p>
    <w:p w:rsidR="002611A6" w:rsidRDefault="002611A6" w:rsidP="001311D0">
      <w:pPr>
        <w:spacing w:beforeLines="50" w:afterLines="50"/>
        <w:jc w:val="center"/>
        <w:rPr>
          <w:sz w:val="44"/>
          <w:szCs w:val="44"/>
        </w:rPr>
      </w:pPr>
      <w:r>
        <w:rPr>
          <w:rFonts w:hint="eastAsia"/>
          <w:sz w:val="44"/>
          <w:szCs w:val="44"/>
        </w:rPr>
        <w:t>境内第二类医疗器械注册</w:t>
      </w:r>
    </w:p>
    <w:p w:rsidR="002611A6" w:rsidRDefault="002611A6" w:rsidP="001311D0">
      <w:pPr>
        <w:spacing w:beforeLines="50" w:afterLines="50"/>
        <w:jc w:val="center"/>
        <w:rPr>
          <w:rFonts w:ascii="方正小标宋简体" w:eastAsia="方正小标宋简体"/>
          <w:sz w:val="44"/>
          <w:szCs w:val="44"/>
        </w:rPr>
      </w:pPr>
      <w:r>
        <w:rPr>
          <w:rFonts w:ascii="方正小标宋简体" w:eastAsia="方正小标宋简体" w:cs="宋体" w:hint="eastAsia"/>
          <w:sz w:val="44"/>
          <w:szCs w:val="44"/>
        </w:rPr>
        <w:t>技术审评报告</w:t>
      </w:r>
    </w:p>
    <w:p w:rsidR="002611A6" w:rsidRDefault="002611A6" w:rsidP="002611A6">
      <w:pPr>
        <w:ind w:firstLineChars="200" w:firstLine="560"/>
        <w:jc w:val="left"/>
        <w:rPr>
          <w:sz w:val="28"/>
          <w:szCs w:val="28"/>
        </w:rPr>
      </w:pPr>
    </w:p>
    <w:p w:rsidR="002611A6" w:rsidRDefault="002611A6" w:rsidP="002611A6">
      <w:pPr>
        <w:ind w:firstLineChars="200" w:firstLine="560"/>
        <w:jc w:val="left"/>
        <w:rPr>
          <w:sz w:val="28"/>
          <w:szCs w:val="28"/>
        </w:rPr>
      </w:pPr>
    </w:p>
    <w:p w:rsidR="002611A6" w:rsidRDefault="002611A6" w:rsidP="002611A6">
      <w:pPr>
        <w:ind w:firstLineChars="200" w:firstLine="560"/>
        <w:jc w:val="left"/>
        <w:rPr>
          <w:sz w:val="28"/>
          <w:szCs w:val="28"/>
        </w:rPr>
      </w:pPr>
    </w:p>
    <w:p w:rsidR="002611A6" w:rsidRDefault="002611A6" w:rsidP="002611A6">
      <w:pPr>
        <w:ind w:firstLineChars="200" w:firstLine="560"/>
        <w:jc w:val="left"/>
        <w:rPr>
          <w:sz w:val="28"/>
          <w:szCs w:val="28"/>
        </w:rPr>
      </w:pPr>
    </w:p>
    <w:p w:rsidR="002611A6" w:rsidRPr="0045128A" w:rsidRDefault="002611A6" w:rsidP="00F7415A">
      <w:pPr>
        <w:jc w:val="center"/>
        <w:rPr>
          <w:rFonts w:cs="宋体"/>
          <w:sz w:val="28"/>
          <w:szCs w:val="28"/>
        </w:rPr>
      </w:pPr>
      <w:r w:rsidRPr="0045128A">
        <w:rPr>
          <w:rFonts w:cs="宋体" w:hint="eastAsia"/>
          <w:sz w:val="28"/>
          <w:szCs w:val="28"/>
        </w:rPr>
        <w:t>产品名称：</w:t>
      </w:r>
      <w:r w:rsidR="00AA6340">
        <w:rPr>
          <w:rFonts w:cs="宋体" w:hint="eastAsia"/>
          <w:sz w:val="28"/>
          <w:szCs w:val="28"/>
        </w:rPr>
        <w:t>眼科光学相干断层扫描仪</w:t>
      </w:r>
    </w:p>
    <w:p w:rsidR="00E35ADE" w:rsidRPr="0045128A" w:rsidRDefault="00E35ADE" w:rsidP="00F7415A">
      <w:pPr>
        <w:ind w:firstLineChars="420" w:firstLine="1176"/>
        <w:jc w:val="center"/>
        <w:rPr>
          <w:sz w:val="28"/>
          <w:szCs w:val="28"/>
        </w:rPr>
      </w:pPr>
    </w:p>
    <w:p w:rsidR="00E35ADE" w:rsidRPr="0045128A" w:rsidRDefault="002611A6" w:rsidP="00F7415A">
      <w:pPr>
        <w:jc w:val="center"/>
        <w:rPr>
          <w:sz w:val="28"/>
          <w:szCs w:val="28"/>
        </w:rPr>
      </w:pPr>
      <w:r w:rsidRPr="0045128A">
        <w:rPr>
          <w:rFonts w:cs="宋体" w:hint="eastAsia"/>
          <w:sz w:val="28"/>
          <w:szCs w:val="28"/>
        </w:rPr>
        <w:t>规格型号：</w:t>
      </w:r>
      <w:r w:rsidR="00AA6340">
        <w:rPr>
          <w:rFonts w:cs="宋体"/>
          <w:sz w:val="28"/>
          <w:szCs w:val="28"/>
        </w:rPr>
        <w:t>TOPI-SIGMA 1000</w:t>
      </w:r>
    </w:p>
    <w:p w:rsidR="002611A6" w:rsidRPr="0045128A" w:rsidRDefault="002611A6" w:rsidP="00F7415A">
      <w:pPr>
        <w:jc w:val="center"/>
        <w:rPr>
          <w:rFonts w:cs="宋体"/>
          <w:sz w:val="28"/>
          <w:szCs w:val="28"/>
        </w:rPr>
      </w:pPr>
      <w:r w:rsidRPr="0045128A">
        <w:rPr>
          <w:rFonts w:cs="宋体" w:hint="eastAsia"/>
          <w:sz w:val="28"/>
          <w:szCs w:val="28"/>
        </w:rPr>
        <w:t>申请人：</w:t>
      </w:r>
      <w:r w:rsidR="00AA6340">
        <w:rPr>
          <w:rFonts w:cs="宋体" w:hint="eastAsia"/>
          <w:sz w:val="28"/>
          <w:szCs w:val="28"/>
        </w:rPr>
        <w:t>北京图湃影像科技有限公司</w:t>
      </w:r>
    </w:p>
    <w:p w:rsidR="002611A6" w:rsidRDefault="002611A6" w:rsidP="00F7415A">
      <w:pPr>
        <w:jc w:val="center"/>
        <w:rPr>
          <w:sz w:val="28"/>
          <w:szCs w:val="28"/>
        </w:rPr>
      </w:pPr>
    </w:p>
    <w:p w:rsidR="005B4940" w:rsidRDefault="005B4940" w:rsidP="00E35ADE">
      <w:pPr>
        <w:tabs>
          <w:tab w:val="left" w:pos="7335"/>
        </w:tabs>
        <w:jc w:val="center"/>
        <w:rPr>
          <w:sz w:val="28"/>
          <w:szCs w:val="28"/>
        </w:rPr>
      </w:pPr>
    </w:p>
    <w:p w:rsidR="002611A6" w:rsidRDefault="00E35ADE" w:rsidP="00E35ADE">
      <w:pPr>
        <w:tabs>
          <w:tab w:val="left" w:pos="7335"/>
        </w:tabs>
        <w:jc w:val="center"/>
        <w:rPr>
          <w:rFonts w:cs="宋体"/>
          <w:sz w:val="28"/>
          <w:szCs w:val="28"/>
        </w:rPr>
      </w:pPr>
      <w:r>
        <w:rPr>
          <w:rFonts w:hint="eastAsia"/>
          <w:sz w:val="28"/>
          <w:szCs w:val="28"/>
        </w:rPr>
        <w:t>北京市医疗器械技术审评中心</w:t>
      </w:r>
    </w:p>
    <w:p w:rsidR="00DE7E58" w:rsidRPr="0056732B" w:rsidRDefault="002611A6" w:rsidP="0056732B">
      <w:pPr>
        <w:tabs>
          <w:tab w:val="left" w:pos="7335"/>
        </w:tabs>
        <w:rPr>
          <w:rFonts w:ascii="宋体" w:hAnsi="宋体"/>
          <w:bCs/>
          <w:sz w:val="24"/>
        </w:rPr>
      </w:pPr>
      <w:r>
        <w:rPr>
          <w:rFonts w:cs="宋体"/>
          <w:sz w:val="28"/>
          <w:szCs w:val="28"/>
        </w:rPr>
        <w:br w:type="page"/>
      </w:r>
      <w:r w:rsidR="00DE7E58" w:rsidRPr="0056732B">
        <w:rPr>
          <w:rFonts w:ascii="宋体" w:hAnsi="宋体" w:hint="eastAsia"/>
          <w:sz w:val="24"/>
        </w:rPr>
        <w:lastRenderedPageBreak/>
        <w:t>受理号：</w:t>
      </w:r>
      <w:r w:rsidR="000F0BAC" w:rsidRPr="0056732B">
        <w:rPr>
          <w:rFonts w:ascii="宋体" w:hAnsi="宋体" w:hint="eastAsia"/>
          <w:bCs/>
          <w:sz w:val="24"/>
        </w:rPr>
        <w:t>（京）【2020】38-8-01-117号</w:t>
      </w:r>
    </w:p>
    <w:tbl>
      <w:tblPr>
        <w:tblW w:w="5992"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shd w:val="clear" w:color="auto" w:fill="FFFFFF"/>
        <w:tblLayout w:type="fixed"/>
        <w:tblLook w:val="0000"/>
      </w:tblPr>
      <w:tblGrid>
        <w:gridCol w:w="1512"/>
        <w:gridCol w:w="3013"/>
        <w:gridCol w:w="117"/>
        <w:gridCol w:w="2001"/>
        <w:gridCol w:w="3571"/>
        <w:gridCol w:w="6"/>
      </w:tblGrid>
      <w:tr w:rsidR="001E2F52" w:rsidRPr="00E35ADE" w:rsidTr="0056732B">
        <w:trPr>
          <w:cantSplit/>
          <w:trHeight w:val="626"/>
          <w:jc w:val="center"/>
        </w:trPr>
        <w:tc>
          <w:tcPr>
            <w:tcW w:w="2271" w:type="pct"/>
            <w:gridSpan w:val="3"/>
            <w:tcBorders>
              <w:top w:val="single" w:sz="6" w:space="0" w:color="auto"/>
              <w:left w:val="single" w:sz="6" w:space="0" w:color="auto"/>
              <w:right w:val="single" w:sz="4" w:space="0" w:color="auto"/>
            </w:tcBorders>
            <w:shd w:val="clear" w:color="auto" w:fill="FFFFFF"/>
            <w:vAlign w:val="center"/>
          </w:tcPr>
          <w:p w:rsidR="001E2F52" w:rsidRPr="005A5A0A" w:rsidRDefault="001E2F52" w:rsidP="00C80809">
            <w:pPr>
              <w:ind w:left="1200" w:hangingChars="500" w:hanging="1200"/>
              <w:rPr>
                <w:rFonts w:ascii="宋体" w:hAnsi="宋体"/>
                <w:sz w:val="24"/>
              </w:rPr>
            </w:pPr>
            <w:r w:rsidRPr="00E35ADE">
              <w:rPr>
                <w:rFonts w:ascii="宋体" w:hAnsi="宋体" w:hint="eastAsia"/>
                <w:sz w:val="24"/>
              </w:rPr>
              <w:t>企业名称：</w:t>
            </w:r>
            <w:r w:rsidR="00AA6340">
              <w:rPr>
                <w:rFonts w:ascii="宋体" w:hAnsi="宋体" w:hint="eastAsia"/>
                <w:sz w:val="24"/>
              </w:rPr>
              <w:t>北京图湃影像科技有限公司</w:t>
            </w:r>
          </w:p>
        </w:tc>
        <w:tc>
          <w:tcPr>
            <w:tcW w:w="2729" w:type="pct"/>
            <w:gridSpan w:val="3"/>
            <w:tcBorders>
              <w:top w:val="single" w:sz="6" w:space="0" w:color="auto"/>
              <w:left w:val="single" w:sz="4" w:space="0" w:color="auto"/>
              <w:right w:val="single" w:sz="6" w:space="0" w:color="auto"/>
            </w:tcBorders>
            <w:shd w:val="clear" w:color="auto" w:fill="FFFFFF"/>
            <w:vAlign w:val="center"/>
          </w:tcPr>
          <w:p w:rsidR="001E2F52" w:rsidRPr="005A5A0A" w:rsidRDefault="001E2F52" w:rsidP="00C80809">
            <w:pPr>
              <w:rPr>
                <w:rFonts w:ascii="宋体" w:hAnsi="宋体"/>
                <w:sz w:val="24"/>
              </w:rPr>
            </w:pPr>
            <w:r w:rsidRPr="00E35ADE">
              <w:rPr>
                <w:rFonts w:ascii="宋体" w:hAnsi="宋体" w:hint="eastAsia"/>
                <w:sz w:val="24"/>
              </w:rPr>
              <w:t>产品名称：</w:t>
            </w:r>
            <w:r w:rsidR="00AA6340">
              <w:rPr>
                <w:rFonts w:ascii="宋体" w:hAnsi="宋体" w:hint="eastAsia"/>
                <w:sz w:val="24"/>
              </w:rPr>
              <w:t>眼科光学相干断层扫描仪</w:t>
            </w:r>
          </w:p>
        </w:tc>
      </w:tr>
      <w:tr w:rsidR="001E2F52" w:rsidRPr="00E35ADE" w:rsidTr="0056732B">
        <w:trPr>
          <w:cantSplit/>
          <w:trHeight w:val="626"/>
          <w:jc w:val="center"/>
        </w:trPr>
        <w:tc>
          <w:tcPr>
            <w:tcW w:w="740" w:type="pct"/>
            <w:tcBorders>
              <w:top w:val="single" w:sz="6" w:space="0" w:color="auto"/>
              <w:left w:val="single" w:sz="6" w:space="0" w:color="auto"/>
              <w:right w:val="single" w:sz="4" w:space="0" w:color="auto"/>
            </w:tcBorders>
            <w:shd w:val="clear" w:color="auto" w:fill="FFFFFF"/>
            <w:vAlign w:val="center"/>
          </w:tcPr>
          <w:p w:rsidR="001E2F52" w:rsidRPr="00E35ADE" w:rsidRDefault="001E2F52" w:rsidP="00C80809">
            <w:pPr>
              <w:rPr>
                <w:rFonts w:ascii="宋体" w:hAnsi="宋体"/>
                <w:sz w:val="24"/>
              </w:rPr>
            </w:pPr>
            <w:r w:rsidRPr="00E35ADE">
              <w:rPr>
                <w:rFonts w:ascii="宋体" w:hAnsi="宋体" w:hint="eastAsia"/>
                <w:sz w:val="24"/>
              </w:rPr>
              <w:t>规格型号</w:t>
            </w:r>
          </w:p>
        </w:tc>
        <w:tc>
          <w:tcPr>
            <w:tcW w:w="4260" w:type="pct"/>
            <w:gridSpan w:val="5"/>
            <w:tcBorders>
              <w:top w:val="single" w:sz="6" w:space="0" w:color="auto"/>
              <w:left w:val="single" w:sz="4" w:space="0" w:color="auto"/>
              <w:right w:val="single" w:sz="6" w:space="0" w:color="auto"/>
            </w:tcBorders>
            <w:shd w:val="clear" w:color="auto" w:fill="FFFFFF"/>
            <w:vAlign w:val="center"/>
          </w:tcPr>
          <w:p w:rsidR="001E2F52" w:rsidRPr="00A14B36" w:rsidRDefault="00AA6340" w:rsidP="00C80809">
            <w:pPr>
              <w:rPr>
                <w:rFonts w:ascii="宋体" w:hAnsi="宋体"/>
                <w:sz w:val="24"/>
              </w:rPr>
            </w:pPr>
            <w:bookmarkStart w:id="0" w:name="OLE_LINK36"/>
            <w:bookmarkStart w:id="1" w:name="OLE_LINK37"/>
            <w:r>
              <w:rPr>
                <w:rFonts w:ascii="宋体" w:hAnsi="宋体" w:hint="eastAsia"/>
                <w:sz w:val="24"/>
              </w:rPr>
              <w:t>T</w:t>
            </w:r>
            <w:r>
              <w:rPr>
                <w:rFonts w:ascii="宋体" w:hAnsi="宋体"/>
                <w:sz w:val="24"/>
              </w:rPr>
              <w:t>OPI-SIGMA 1000</w:t>
            </w:r>
            <w:bookmarkEnd w:id="0"/>
            <w:bookmarkEnd w:id="1"/>
          </w:p>
        </w:tc>
      </w:tr>
      <w:tr w:rsidR="001E2F52" w:rsidTr="0056732B">
        <w:trPr>
          <w:cantSplit/>
          <w:trHeight w:val="626"/>
          <w:jc w:val="center"/>
        </w:trPr>
        <w:tc>
          <w:tcPr>
            <w:tcW w:w="740" w:type="pct"/>
            <w:tcBorders>
              <w:top w:val="single" w:sz="6" w:space="0" w:color="auto"/>
              <w:left w:val="single" w:sz="6" w:space="0" w:color="auto"/>
              <w:right w:val="single" w:sz="4" w:space="0" w:color="auto"/>
            </w:tcBorders>
            <w:shd w:val="clear" w:color="auto" w:fill="FFFFFF"/>
            <w:vAlign w:val="center"/>
          </w:tcPr>
          <w:p w:rsidR="001E2F52" w:rsidRPr="00BA0570" w:rsidRDefault="001E2F52" w:rsidP="00C80809">
            <w:pPr>
              <w:rPr>
                <w:rFonts w:ascii="宋体" w:hAnsi="宋体"/>
                <w:sz w:val="24"/>
              </w:rPr>
            </w:pPr>
            <w:r w:rsidRPr="00BA0570">
              <w:rPr>
                <w:rFonts w:ascii="宋体" w:hAnsi="宋体" w:hint="eastAsia"/>
                <w:sz w:val="24"/>
              </w:rPr>
              <w:t>产品分类</w:t>
            </w:r>
          </w:p>
        </w:tc>
        <w:tc>
          <w:tcPr>
            <w:tcW w:w="4260" w:type="pct"/>
            <w:gridSpan w:val="5"/>
            <w:tcBorders>
              <w:top w:val="single" w:sz="6" w:space="0" w:color="auto"/>
              <w:left w:val="single" w:sz="4" w:space="0" w:color="auto"/>
              <w:right w:val="single" w:sz="6" w:space="0" w:color="auto"/>
            </w:tcBorders>
            <w:shd w:val="clear" w:color="auto" w:fill="FFFFFF"/>
            <w:vAlign w:val="center"/>
          </w:tcPr>
          <w:p w:rsidR="001E2F52" w:rsidRPr="00BA0570" w:rsidRDefault="001E2F52" w:rsidP="00C80809">
            <w:pPr>
              <w:spacing w:line="460" w:lineRule="exact"/>
              <w:rPr>
                <w:rFonts w:ascii="宋体" w:hAnsi="宋体"/>
                <w:sz w:val="24"/>
              </w:rPr>
            </w:pPr>
            <w:r w:rsidRPr="00900FCC">
              <w:rPr>
                <w:rFonts w:asciiTheme="minorEastAsia" w:hAnsiTheme="minorEastAsia" w:hint="eastAsia"/>
                <w:sz w:val="24"/>
              </w:rPr>
              <w:t>■</w:t>
            </w:r>
            <w:r w:rsidRPr="00BA0570">
              <w:rPr>
                <w:rFonts w:ascii="宋体" w:hAnsi="宋体" w:hint="eastAsia"/>
                <w:sz w:val="24"/>
              </w:rPr>
              <w:t>有源　□无源□</w:t>
            </w:r>
            <w:r>
              <w:rPr>
                <w:rFonts w:ascii="宋体" w:hAnsi="宋体" w:hint="eastAsia"/>
                <w:sz w:val="24"/>
              </w:rPr>
              <w:t>临检设备</w:t>
            </w:r>
          </w:p>
        </w:tc>
      </w:tr>
      <w:tr w:rsidR="001E2F52" w:rsidTr="0056732B">
        <w:trPr>
          <w:cantSplit/>
          <w:trHeight w:val="626"/>
          <w:jc w:val="center"/>
        </w:trPr>
        <w:tc>
          <w:tcPr>
            <w:tcW w:w="740" w:type="pct"/>
            <w:vMerge w:val="restart"/>
            <w:tcBorders>
              <w:top w:val="single" w:sz="6" w:space="0" w:color="auto"/>
              <w:left w:val="single" w:sz="6" w:space="0" w:color="auto"/>
              <w:right w:val="single" w:sz="4" w:space="0" w:color="auto"/>
            </w:tcBorders>
            <w:shd w:val="clear" w:color="auto" w:fill="FFFFFF"/>
            <w:vAlign w:val="center"/>
          </w:tcPr>
          <w:p w:rsidR="001E2F52" w:rsidRPr="00BA0570" w:rsidRDefault="001E2F52" w:rsidP="00C80809">
            <w:pPr>
              <w:rPr>
                <w:rFonts w:ascii="宋体" w:hAnsi="宋体"/>
                <w:sz w:val="24"/>
              </w:rPr>
            </w:pPr>
            <w:r w:rsidRPr="00BA0570">
              <w:rPr>
                <w:rFonts w:ascii="宋体" w:hAnsi="宋体" w:hint="eastAsia"/>
                <w:sz w:val="24"/>
              </w:rPr>
              <w:t>产品类代码</w:t>
            </w:r>
          </w:p>
        </w:tc>
        <w:tc>
          <w:tcPr>
            <w:tcW w:w="4260" w:type="pct"/>
            <w:gridSpan w:val="5"/>
            <w:tcBorders>
              <w:top w:val="single" w:sz="6" w:space="0" w:color="auto"/>
              <w:left w:val="single" w:sz="4" w:space="0" w:color="auto"/>
              <w:right w:val="single" w:sz="6" w:space="0" w:color="auto"/>
            </w:tcBorders>
            <w:shd w:val="clear" w:color="auto" w:fill="FFFFFF"/>
            <w:vAlign w:val="center"/>
          </w:tcPr>
          <w:p w:rsidR="001E2F52" w:rsidRPr="00E35ADE" w:rsidRDefault="001E2F52" w:rsidP="00C80809">
            <w:pPr>
              <w:spacing w:line="460" w:lineRule="exact"/>
              <w:rPr>
                <w:rFonts w:ascii="宋体" w:hAnsi="宋体"/>
                <w:sz w:val="24"/>
              </w:rPr>
            </w:pPr>
            <w:r w:rsidRPr="00E35ADE">
              <w:rPr>
                <w:rFonts w:ascii="宋体" w:hAnsi="宋体" w:hint="eastAsia"/>
                <w:sz w:val="24"/>
              </w:rPr>
              <w:t>分类代码：</w:t>
            </w:r>
            <w:r w:rsidR="00AA6340">
              <w:rPr>
                <w:rFonts w:ascii="宋体" w:hAnsi="宋体" w:hint="eastAsia"/>
                <w:sz w:val="24"/>
              </w:rPr>
              <w:t>1</w:t>
            </w:r>
            <w:r w:rsidR="00AA6340">
              <w:rPr>
                <w:rFonts w:ascii="宋体" w:hAnsi="宋体"/>
                <w:sz w:val="24"/>
              </w:rPr>
              <w:t>6</w:t>
            </w:r>
          </w:p>
        </w:tc>
      </w:tr>
      <w:tr w:rsidR="001E2F52" w:rsidTr="0056732B">
        <w:trPr>
          <w:cantSplit/>
          <w:trHeight w:val="626"/>
          <w:jc w:val="center"/>
        </w:trPr>
        <w:tc>
          <w:tcPr>
            <w:tcW w:w="740" w:type="pct"/>
            <w:vMerge/>
            <w:tcBorders>
              <w:left w:val="single" w:sz="6" w:space="0" w:color="auto"/>
              <w:right w:val="single" w:sz="4" w:space="0" w:color="auto"/>
            </w:tcBorders>
            <w:shd w:val="clear" w:color="auto" w:fill="FFFFFF"/>
            <w:vAlign w:val="center"/>
          </w:tcPr>
          <w:p w:rsidR="001E2F52" w:rsidRPr="00BA0570" w:rsidRDefault="001E2F52" w:rsidP="00C80809">
            <w:pPr>
              <w:rPr>
                <w:rFonts w:ascii="宋体" w:hAnsi="宋体"/>
                <w:sz w:val="24"/>
              </w:rPr>
            </w:pPr>
          </w:p>
        </w:tc>
        <w:tc>
          <w:tcPr>
            <w:tcW w:w="4260" w:type="pct"/>
            <w:gridSpan w:val="5"/>
            <w:tcBorders>
              <w:top w:val="single" w:sz="6" w:space="0" w:color="auto"/>
              <w:left w:val="single" w:sz="4" w:space="0" w:color="auto"/>
              <w:right w:val="single" w:sz="6" w:space="0" w:color="auto"/>
            </w:tcBorders>
            <w:shd w:val="clear" w:color="auto" w:fill="FFFFFF"/>
            <w:vAlign w:val="center"/>
          </w:tcPr>
          <w:p w:rsidR="001E2F52" w:rsidRPr="00BA0570" w:rsidRDefault="001E2F52" w:rsidP="00C80809">
            <w:pPr>
              <w:spacing w:line="460" w:lineRule="exact"/>
              <w:rPr>
                <w:rFonts w:ascii="宋体" w:hAnsi="宋体"/>
                <w:sz w:val="24"/>
              </w:rPr>
            </w:pPr>
            <w:r w:rsidRPr="00BA0570">
              <w:rPr>
                <w:rFonts w:ascii="宋体" w:hAnsi="宋体" w:hint="eastAsia"/>
                <w:sz w:val="24"/>
              </w:rPr>
              <w:t>小类号：</w:t>
            </w:r>
            <w:r w:rsidR="00AA6340">
              <w:rPr>
                <w:rFonts w:ascii="宋体" w:hAnsi="宋体" w:hint="eastAsia"/>
                <w:sz w:val="24"/>
              </w:rPr>
              <w:t>0</w:t>
            </w:r>
            <w:r w:rsidR="00AA6340">
              <w:rPr>
                <w:rFonts w:ascii="宋体" w:hAnsi="宋体"/>
                <w:sz w:val="24"/>
              </w:rPr>
              <w:t>4</w:t>
            </w:r>
            <w:r w:rsidRPr="00BA0570">
              <w:rPr>
                <w:rFonts w:ascii="宋体" w:hAnsi="宋体" w:hint="eastAsia"/>
                <w:sz w:val="24"/>
              </w:rPr>
              <w:t>品种号：</w:t>
            </w:r>
            <w:r w:rsidR="00C5141A">
              <w:rPr>
                <w:rFonts w:ascii="宋体" w:hAnsi="宋体" w:hint="eastAsia"/>
                <w:sz w:val="24"/>
              </w:rPr>
              <w:t>04</w:t>
            </w:r>
          </w:p>
        </w:tc>
      </w:tr>
      <w:tr w:rsidR="001E2F52" w:rsidTr="0056732B">
        <w:trPr>
          <w:cantSplit/>
          <w:trHeight w:val="626"/>
          <w:jc w:val="center"/>
        </w:trPr>
        <w:tc>
          <w:tcPr>
            <w:tcW w:w="740" w:type="pct"/>
            <w:tcBorders>
              <w:top w:val="single" w:sz="6" w:space="0" w:color="auto"/>
              <w:left w:val="single" w:sz="6" w:space="0" w:color="auto"/>
              <w:right w:val="single" w:sz="4" w:space="0" w:color="auto"/>
            </w:tcBorders>
            <w:shd w:val="clear" w:color="auto" w:fill="FFFFFF"/>
            <w:vAlign w:val="center"/>
          </w:tcPr>
          <w:p w:rsidR="001E2F52" w:rsidRPr="00BA0570" w:rsidRDefault="001E2F52" w:rsidP="00C80809">
            <w:pPr>
              <w:rPr>
                <w:rFonts w:ascii="宋体" w:hAnsi="宋体"/>
                <w:sz w:val="24"/>
              </w:rPr>
            </w:pPr>
            <w:r w:rsidRPr="00BA0570">
              <w:rPr>
                <w:rFonts w:ascii="宋体" w:hAnsi="宋体" w:hint="eastAsia"/>
                <w:sz w:val="24"/>
              </w:rPr>
              <w:t>注册类型</w:t>
            </w:r>
          </w:p>
        </w:tc>
        <w:tc>
          <w:tcPr>
            <w:tcW w:w="4260" w:type="pct"/>
            <w:gridSpan w:val="5"/>
            <w:tcBorders>
              <w:top w:val="single" w:sz="6" w:space="0" w:color="auto"/>
              <w:left w:val="single" w:sz="4" w:space="0" w:color="auto"/>
              <w:right w:val="single" w:sz="6" w:space="0" w:color="auto"/>
            </w:tcBorders>
            <w:shd w:val="clear" w:color="auto" w:fill="FFFFFF"/>
            <w:vAlign w:val="center"/>
          </w:tcPr>
          <w:p w:rsidR="001E2F52" w:rsidRPr="00900FCC" w:rsidRDefault="001E2F52" w:rsidP="00C80809">
            <w:pPr>
              <w:rPr>
                <w:rFonts w:ascii="宋体" w:hAnsi="宋体"/>
                <w:sz w:val="24"/>
              </w:rPr>
            </w:pPr>
            <w:r w:rsidRPr="00900FCC">
              <w:rPr>
                <w:rFonts w:asciiTheme="minorEastAsia" w:hAnsiTheme="minorEastAsia" w:hint="eastAsia"/>
                <w:sz w:val="24"/>
              </w:rPr>
              <w:t>■</w:t>
            </w:r>
            <w:r w:rsidRPr="00900FCC">
              <w:rPr>
                <w:rFonts w:ascii="宋体" w:hAnsi="宋体" w:hint="eastAsia"/>
                <w:sz w:val="24"/>
              </w:rPr>
              <w:t>首次注册  □许可事项变更  □延续注册</w:t>
            </w:r>
          </w:p>
        </w:tc>
      </w:tr>
      <w:tr w:rsidR="001E2F52" w:rsidTr="0056732B">
        <w:trPr>
          <w:cantSplit/>
          <w:trHeight w:val="626"/>
          <w:jc w:val="center"/>
        </w:trPr>
        <w:tc>
          <w:tcPr>
            <w:tcW w:w="740" w:type="pct"/>
            <w:tcBorders>
              <w:top w:val="single" w:sz="6" w:space="0" w:color="auto"/>
              <w:left w:val="single" w:sz="6" w:space="0" w:color="auto"/>
              <w:right w:val="single" w:sz="4" w:space="0" w:color="auto"/>
            </w:tcBorders>
            <w:shd w:val="clear" w:color="auto" w:fill="FFFFFF"/>
            <w:vAlign w:val="center"/>
          </w:tcPr>
          <w:p w:rsidR="001E2F52" w:rsidRPr="00BA0570" w:rsidRDefault="001E2F52" w:rsidP="00C80809">
            <w:pPr>
              <w:spacing w:line="460" w:lineRule="exact"/>
              <w:rPr>
                <w:rFonts w:ascii="宋体" w:hAnsi="宋体"/>
                <w:sz w:val="24"/>
              </w:rPr>
            </w:pPr>
            <w:r w:rsidRPr="00BA0570">
              <w:rPr>
                <w:rFonts w:ascii="宋体" w:hAnsi="宋体" w:hint="eastAsia"/>
                <w:sz w:val="24"/>
              </w:rPr>
              <w:t>临床试验</w:t>
            </w:r>
          </w:p>
        </w:tc>
        <w:tc>
          <w:tcPr>
            <w:tcW w:w="4260" w:type="pct"/>
            <w:gridSpan w:val="5"/>
            <w:tcBorders>
              <w:top w:val="single" w:sz="6" w:space="0" w:color="auto"/>
              <w:left w:val="single" w:sz="4" w:space="0" w:color="auto"/>
              <w:right w:val="single" w:sz="6" w:space="0" w:color="auto"/>
            </w:tcBorders>
            <w:shd w:val="clear" w:color="auto" w:fill="FFFFFF"/>
            <w:vAlign w:val="center"/>
          </w:tcPr>
          <w:p w:rsidR="001E2F52" w:rsidRPr="00BA0570" w:rsidRDefault="001E2F52" w:rsidP="00C80809">
            <w:pPr>
              <w:widowControl/>
              <w:rPr>
                <w:rFonts w:ascii="宋体" w:hAnsi="宋体"/>
                <w:sz w:val="24"/>
              </w:rPr>
            </w:pPr>
            <w:r w:rsidRPr="00900FCC">
              <w:rPr>
                <w:rFonts w:asciiTheme="minorEastAsia" w:hAnsiTheme="minorEastAsia" w:hint="eastAsia"/>
                <w:sz w:val="24"/>
              </w:rPr>
              <w:t>■</w:t>
            </w:r>
            <w:r w:rsidRPr="00BA0570">
              <w:rPr>
                <w:rFonts w:ascii="宋体" w:hAnsi="宋体" w:hint="eastAsia"/>
                <w:sz w:val="24"/>
              </w:rPr>
              <w:t>试验  □豁免  □评价</w:t>
            </w:r>
          </w:p>
        </w:tc>
      </w:tr>
      <w:tr w:rsidR="001E2F52" w:rsidTr="0056732B">
        <w:trPr>
          <w:cantSplit/>
          <w:trHeight w:val="832"/>
          <w:jc w:val="center"/>
        </w:trPr>
        <w:tc>
          <w:tcPr>
            <w:tcW w:w="740" w:type="pct"/>
            <w:tcBorders>
              <w:top w:val="single" w:sz="6" w:space="0" w:color="auto"/>
              <w:left w:val="single" w:sz="6" w:space="0" w:color="auto"/>
              <w:bottom w:val="single" w:sz="6" w:space="0" w:color="auto"/>
              <w:right w:val="single" w:sz="4" w:space="0" w:color="auto"/>
            </w:tcBorders>
            <w:shd w:val="clear" w:color="auto" w:fill="FFFFFF"/>
            <w:vAlign w:val="center"/>
          </w:tcPr>
          <w:p w:rsidR="001E2F52" w:rsidRPr="00BA0570" w:rsidRDefault="001E2F52" w:rsidP="00C80809">
            <w:pPr>
              <w:spacing w:line="460" w:lineRule="exact"/>
              <w:rPr>
                <w:rFonts w:ascii="宋体" w:hAnsi="宋体"/>
                <w:sz w:val="24"/>
              </w:rPr>
            </w:pPr>
            <w:r w:rsidRPr="00BA0570">
              <w:rPr>
                <w:rFonts w:ascii="宋体" w:hAnsi="宋体" w:hint="eastAsia"/>
                <w:sz w:val="24"/>
              </w:rPr>
              <w:t>体系核查</w:t>
            </w:r>
          </w:p>
        </w:tc>
        <w:tc>
          <w:tcPr>
            <w:tcW w:w="1474" w:type="pct"/>
            <w:tcBorders>
              <w:top w:val="single" w:sz="6" w:space="0" w:color="auto"/>
              <w:left w:val="single" w:sz="4" w:space="0" w:color="auto"/>
              <w:bottom w:val="single" w:sz="6" w:space="0" w:color="auto"/>
              <w:right w:val="single" w:sz="4" w:space="0" w:color="auto"/>
            </w:tcBorders>
            <w:shd w:val="clear" w:color="auto" w:fill="FFFFFF"/>
            <w:vAlign w:val="center"/>
          </w:tcPr>
          <w:p w:rsidR="001E2F52" w:rsidRPr="00900FCC" w:rsidRDefault="001E2F52" w:rsidP="00C80809">
            <w:pPr>
              <w:spacing w:line="360" w:lineRule="exact"/>
              <w:rPr>
                <w:rFonts w:ascii="宋体" w:hAnsi="宋体"/>
                <w:sz w:val="24"/>
              </w:rPr>
            </w:pPr>
            <w:r w:rsidRPr="00900FCC">
              <w:rPr>
                <w:rFonts w:asciiTheme="minorEastAsia" w:hAnsiTheme="minorEastAsia" w:hint="eastAsia"/>
                <w:sz w:val="24"/>
              </w:rPr>
              <w:t>■</w:t>
            </w:r>
            <w:r w:rsidRPr="00900FCC">
              <w:rPr>
                <w:rFonts w:ascii="宋体" w:hAnsi="宋体" w:hint="eastAsia"/>
                <w:sz w:val="24"/>
              </w:rPr>
              <w:t>通则  □无菌  □植入</w:t>
            </w:r>
          </w:p>
          <w:p w:rsidR="001E2F52" w:rsidRPr="00900FCC" w:rsidRDefault="001E2F52" w:rsidP="00C80809">
            <w:pPr>
              <w:spacing w:line="360" w:lineRule="exact"/>
              <w:rPr>
                <w:rFonts w:ascii="宋体" w:hAnsi="宋体"/>
                <w:sz w:val="24"/>
              </w:rPr>
            </w:pPr>
            <w:r w:rsidRPr="00900FCC">
              <w:rPr>
                <w:rFonts w:ascii="宋体" w:hAnsi="宋体" w:hint="eastAsia"/>
                <w:sz w:val="24"/>
              </w:rPr>
              <w:t>□义齿  □其他</w:t>
            </w:r>
          </w:p>
        </w:tc>
        <w:tc>
          <w:tcPr>
            <w:tcW w:w="103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1E2F52" w:rsidRPr="00E35ADE" w:rsidRDefault="001E2F52" w:rsidP="00C80809">
            <w:pPr>
              <w:spacing w:line="360" w:lineRule="exact"/>
              <w:rPr>
                <w:rFonts w:ascii="宋体" w:hAnsi="宋体"/>
                <w:sz w:val="24"/>
              </w:rPr>
            </w:pPr>
            <w:r w:rsidRPr="00900FCC">
              <w:rPr>
                <w:rFonts w:asciiTheme="minorEastAsia" w:hAnsiTheme="minorEastAsia" w:hint="eastAsia"/>
                <w:sz w:val="24"/>
              </w:rPr>
              <w:t>■</w:t>
            </w:r>
            <w:r w:rsidRPr="00E35ADE">
              <w:rPr>
                <w:rFonts w:ascii="宋体" w:hAnsi="宋体" w:hint="eastAsia"/>
                <w:sz w:val="24"/>
              </w:rPr>
              <w:t>现场   □函审</w:t>
            </w:r>
          </w:p>
          <w:p w:rsidR="001E2F52" w:rsidRPr="00E35ADE" w:rsidRDefault="001E2F52" w:rsidP="00C80809">
            <w:pPr>
              <w:spacing w:line="360" w:lineRule="exact"/>
              <w:rPr>
                <w:rFonts w:ascii="宋体" w:hAnsi="宋体"/>
                <w:sz w:val="24"/>
              </w:rPr>
            </w:pPr>
            <w:r w:rsidRPr="00E35ADE">
              <w:rPr>
                <w:rFonts w:ascii="宋体" w:hAnsi="宋体" w:hint="eastAsia"/>
                <w:sz w:val="24"/>
              </w:rPr>
              <w:t>□覆盖</w:t>
            </w:r>
          </w:p>
        </w:tc>
        <w:tc>
          <w:tcPr>
            <w:tcW w:w="1750"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1E2F52" w:rsidRPr="00E35ADE" w:rsidRDefault="001E2F52" w:rsidP="00C80809">
            <w:pPr>
              <w:spacing w:line="360" w:lineRule="exact"/>
              <w:rPr>
                <w:rFonts w:ascii="宋体" w:hAnsi="宋体"/>
                <w:sz w:val="24"/>
              </w:rPr>
            </w:pPr>
            <w:r w:rsidRPr="00E35ADE">
              <w:rPr>
                <w:rFonts w:ascii="宋体" w:hAnsi="宋体" w:hint="eastAsia"/>
                <w:sz w:val="24"/>
              </w:rPr>
              <w:t>报告编号：</w:t>
            </w:r>
            <w:r w:rsidR="00FC3DA5">
              <w:rPr>
                <w:rFonts w:ascii="宋体" w:hAnsi="宋体"/>
                <w:sz w:val="24"/>
              </w:rPr>
              <w:t>ZH-20-221</w:t>
            </w:r>
          </w:p>
        </w:tc>
      </w:tr>
      <w:tr w:rsidR="001E2F52" w:rsidRPr="00900FCC" w:rsidTr="001E2F52">
        <w:trPr>
          <w:gridAfter w:val="1"/>
          <w:wAfter w:w="3" w:type="pct"/>
          <w:cantSplit/>
          <w:trHeight w:val="631"/>
          <w:jc w:val="center"/>
        </w:trPr>
        <w:tc>
          <w:tcPr>
            <w:tcW w:w="740" w:type="pct"/>
            <w:tcBorders>
              <w:top w:val="single" w:sz="6" w:space="0" w:color="auto"/>
              <w:left w:val="single" w:sz="6" w:space="0" w:color="auto"/>
              <w:bottom w:val="single" w:sz="6" w:space="0" w:color="auto"/>
              <w:right w:val="single" w:sz="4" w:space="0" w:color="auto"/>
            </w:tcBorders>
            <w:shd w:val="clear" w:color="auto" w:fill="FFFFFF"/>
            <w:vAlign w:val="center"/>
          </w:tcPr>
          <w:p w:rsidR="001E2F52" w:rsidRPr="00900FCC" w:rsidRDefault="001E2F52" w:rsidP="00C80809">
            <w:pPr>
              <w:spacing w:line="460" w:lineRule="exact"/>
              <w:jc w:val="center"/>
              <w:rPr>
                <w:rFonts w:ascii="宋体" w:hAnsi="宋体"/>
                <w:sz w:val="24"/>
              </w:rPr>
            </w:pPr>
            <w:r w:rsidRPr="00900FCC">
              <w:rPr>
                <w:rFonts w:ascii="宋体" w:hAnsi="宋体" w:hint="eastAsia"/>
                <w:sz w:val="24"/>
              </w:rPr>
              <w:t>快速</w:t>
            </w:r>
          </w:p>
          <w:p w:rsidR="001E2F52" w:rsidRPr="00900FCC" w:rsidRDefault="001E2F52" w:rsidP="00C80809">
            <w:pPr>
              <w:spacing w:line="460" w:lineRule="exact"/>
              <w:jc w:val="center"/>
              <w:rPr>
                <w:rFonts w:ascii="宋体" w:hAnsi="宋体"/>
                <w:sz w:val="24"/>
              </w:rPr>
            </w:pPr>
            <w:r w:rsidRPr="00900FCC">
              <w:rPr>
                <w:rFonts w:ascii="宋体" w:hAnsi="宋体" w:hint="eastAsia"/>
                <w:sz w:val="24"/>
              </w:rPr>
              <w:t>审评审批</w:t>
            </w:r>
          </w:p>
        </w:tc>
        <w:tc>
          <w:tcPr>
            <w:tcW w:w="4257" w:type="pct"/>
            <w:gridSpan w:val="4"/>
            <w:tcBorders>
              <w:top w:val="single" w:sz="6" w:space="0" w:color="auto"/>
              <w:left w:val="single" w:sz="4" w:space="0" w:color="auto"/>
              <w:bottom w:val="single" w:sz="6" w:space="0" w:color="auto"/>
              <w:right w:val="single" w:sz="6" w:space="0" w:color="auto"/>
            </w:tcBorders>
            <w:shd w:val="clear" w:color="auto" w:fill="FFFFFF"/>
            <w:vAlign w:val="center"/>
          </w:tcPr>
          <w:p w:rsidR="001E2F52" w:rsidRPr="00900FCC" w:rsidRDefault="001E2F52" w:rsidP="00C80809">
            <w:pPr>
              <w:spacing w:line="460" w:lineRule="exact"/>
              <w:rPr>
                <w:rFonts w:ascii="宋体" w:hAnsi="宋体"/>
                <w:sz w:val="24"/>
              </w:rPr>
            </w:pPr>
            <w:r w:rsidRPr="00900FCC">
              <w:rPr>
                <w:rFonts w:asciiTheme="minorEastAsia" w:hAnsiTheme="minorEastAsia" w:hint="eastAsia"/>
                <w:sz w:val="24"/>
              </w:rPr>
              <w:t>■</w:t>
            </w:r>
            <w:r w:rsidRPr="00900FCC">
              <w:rPr>
                <w:rFonts w:ascii="宋体" w:hAnsi="宋体" w:hint="eastAsia"/>
                <w:sz w:val="24"/>
              </w:rPr>
              <w:t xml:space="preserve">创新医疗器械        □优先医疗器械                           </w:t>
            </w:r>
          </w:p>
        </w:tc>
      </w:tr>
    </w:tbl>
    <w:p w:rsidR="001E2F52" w:rsidRPr="001E2F52" w:rsidRDefault="001E2F52" w:rsidP="002611A6">
      <w:pPr>
        <w:tabs>
          <w:tab w:val="left" w:pos="7335"/>
        </w:tabs>
        <w:jc w:val="left"/>
        <w:rPr>
          <w:rFonts w:ascii="宋体" w:hAnsi="宋体"/>
          <w:b/>
          <w:bCs/>
          <w:sz w:val="24"/>
        </w:rPr>
      </w:pPr>
    </w:p>
    <w:p w:rsidR="001E2F52" w:rsidRDefault="001E2F52" w:rsidP="002611A6">
      <w:pPr>
        <w:tabs>
          <w:tab w:val="left" w:pos="7335"/>
        </w:tabs>
        <w:jc w:val="left"/>
        <w:rPr>
          <w:rFonts w:ascii="宋体" w:hAnsi="宋体"/>
          <w:b/>
          <w:bCs/>
          <w:sz w:val="24"/>
        </w:rPr>
      </w:pPr>
    </w:p>
    <w:p w:rsidR="001E2F52" w:rsidRDefault="001E2F52" w:rsidP="002611A6">
      <w:pPr>
        <w:tabs>
          <w:tab w:val="left" w:pos="7335"/>
        </w:tabs>
        <w:jc w:val="left"/>
        <w:rPr>
          <w:rFonts w:ascii="宋体" w:hAnsi="宋体"/>
          <w:b/>
          <w:bCs/>
          <w:sz w:val="24"/>
        </w:rPr>
      </w:pPr>
    </w:p>
    <w:p w:rsidR="001E2F52" w:rsidRDefault="001E2F52" w:rsidP="002611A6">
      <w:pPr>
        <w:tabs>
          <w:tab w:val="left" w:pos="7335"/>
        </w:tabs>
        <w:jc w:val="left"/>
        <w:rPr>
          <w:rFonts w:ascii="宋体" w:hAnsi="宋体"/>
          <w:sz w:val="24"/>
        </w:rPr>
      </w:pPr>
    </w:p>
    <w:p w:rsidR="001E2F52" w:rsidRDefault="001E2F52">
      <w:pPr>
        <w:widowControl/>
        <w:jc w:val="left"/>
        <w:rPr>
          <w:rFonts w:ascii="宋体" w:hAnsi="宋体"/>
          <w:sz w:val="24"/>
        </w:rPr>
      </w:pPr>
      <w:r>
        <w:rPr>
          <w:rFonts w:ascii="宋体" w:hAnsi="宋体"/>
          <w:sz w:val="24"/>
        </w:rPr>
        <w:br w:type="page"/>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shd w:val="clear" w:color="auto" w:fill="FFFFFF"/>
        <w:tblLook w:val="0000"/>
      </w:tblPr>
      <w:tblGrid>
        <w:gridCol w:w="1056"/>
        <w:gridCol w:w="7472"/>
      </w:tblGrid>
      <w:tr w:rsidR="00241A67" w:rsidTr="00551FCD">
        <w:trPr>
          <w:trHeight w:val="9738"/>
          <w:jc w:val="center"/>
        </w:trPr>
        <w:tc>
          <w:tcPr>
            <w:tcW w:w="619" w:type="pct"/>
            <w:tcBorders>
              <w:top w:val="single" w:sz="6" w:space="0" w:color="auto"/>
              <w:left w:val="single" w:sz="6" w:space="0" w:color="auto"/>
              <w:right w:val="single" w:sz="4" w:space="0" w:color="auto"/>
            </w:tcBorders>
            <w:shd w:val="clear" w:color="auto" w:fill="FFFFFF"/>
            <w:vAlign w:val="center"/>
          </w:tcPr>
          <w:p w:rsidR="002611A6" w:rsidRDefault="001D459B" w:rsidP="00470298">
            <w:pPr>
              <w:jc w:val="center"/>
              <w:rPr>
                <w:rFonts w:ascii="宋体" w:hAnsi="宋体" w:cs="宋体"/>
                <w:sz w:val="28"/>
                <w:szCs w:val="28"/>
              </w:rPr>
            </w:pPr>
            <w:r>
              <w:lastRenderedPageBreak/>
              <w:br w:type="page"/>
            </w:r>
            <w:r w:rsidR="002611A6">
              <w:rPr>
                <w:rFonts w:ascii="宋体" w:hAnsi="宋体" w:cs="宋体" w:hint="eastAsia"/>
                <w:sz w:val="28"/>
                <w:szCs w:val="28"/>
              </w:rPr>
              <w:t>产</w:t>
            </w:r>
          </w:p>
          <w:p w:rsidR="002611A6" w:rsidRDefault="002611A6" w:rsidP="00470298">
            <w:pPr>
              <w:jc w:val="center"/>
              <w:rPr>
                <w:rFonts w:ascii="宋体" w:hAnsi="宋体" w:cs="宋体"/>
                <w:sz w:val="28"/>
                <w:szCs w:val="28"/>
              </w:rPr>
            </w:pPr>
            <w:r>
              <w:rPr>
                <w:rFonts w:ascii="宋体" w:hAnsi="宋体" w:cs="宋体" w:hint="eastAsia"/>
                <w:sz w:val="28"/>
                <w:szCs w:val="28"/>
              </w:rPr>
              <w:t>品</w:t>
            </w:r>
          </w:p>
          <w:p w:rsidR="002611A6" w:rsidRDefault="002611A6" w:rsidP="00470298">
            <w:pPr>
              <w:jc w:val="center"/>
              <w:rPr>
                <w:rFonts w:ascii="宋体" w:hAnsi="宋体" w:cs="宋体"/>
                <w:sz w:val="28"/>
                <w:szCs w:val="28"/>
              </w:rPr>
            </w:pPr>
            <w:r>
              <w:rPr>
                <w:rFonts w:ascii="宋体" w:hAnsi="宋体" w:cs="宋体" w:hint="eastAsia"/>
                <w:sz w:val="28"/>
                <w:szCs w:val="28"/>
              </w:rPr>
              <w:t>概</w:t>
            </w:r>
          </w:p>
          <w:p w:rsidR="00442EB2" w:rsidRPr="001D459B" w:rsidRDefault="002611A6" w:rsidP="00470298">
            <w:pPr>
              <w:jc w:val="center"/>
              <w:rPr>
                <w:rFonts w:ascii="宋体" w:hAnsi="宋体"/>
                <w:sz w:val="32"/>
              </w:rPr>
            </w:pPr>
            <w:r>
              <w:rPr>
                <w:rFonts w:ascii="宋体" w:hAnsi="宋体" w:cs="宋体" w:hint="eastAsia"/>
                <w:sz w:val="28"/>
                <w:szCs w:val="28"/>
              </w:rPr>
              <w:t>述</w:t>
            </w:r>
          </w:p>
        </w:tc>
        <w:tc>
          <w:tcPr>
            <w:tcW w:w="4381" w:type="pct"/>
            <w:tcBorders>
              <w:top w:val="single" w:sz="6" w:space="0" w:color="auto"/>
              <w:left w:val="single" w:sz="4" w:space="0" w:color="auto"/>
              <w:bottom w:val="single" w:sz="6" w:space="0" w:color="auto"/>
              <w:right w:val="single" w:sz="6" w:space="0" w:color="auto"/>
            </w:tcBorders>
            <w:shd w:val="clear" w:color="auto" w:fill="FFFFFF"/>
          </w:tcPr>
          <w:p w:rsidR="002B3B43" w:rsidRDefault="002B3B43" w:rsidP="002B3B43">
            <w:pPr>
              <w:spacing w:line="460" w:lineRule="exact"/>
              <w:rPr>
                <w:rFonts w:ascii="宋体" w:hAnsi="宋体"/>
                <w:sz w:val="24"/>
              </w:rPr>
            </w:pPr>
            <w:r>
              <w:rPr>
                <w:rFonts w:ascii="宋体" w:hAnsi="宋体" w:hint="eastAsia"/>
                <w:sz w:val="24"/>
              </w:rPr>
              <w:t>一、预期用途</w:t>
            </w:r>
          </w:p>
          <w:p w:rsidR="002B3B43" w:rsidRPr="00213CA4" w:rsidRDefault="004A7167" w:rsidP="00213CA4">
            <w:pPr>
              <w:spacing w:line="360" w:lineRule="auto"/>
              <w:ind w:firstLine="560"/>
              <w:rPr>
                <w:rFonts w:ascii="宋体" w:hAnsi="宋体"/>
                <w:sz w:val="24"/>
              </w:rPr>
            </w:pPr>
            <w:bookmarkStart w:id="2" w:name="OLE_LINK216"/>
            <w:bookmarkStart w:id="3" w:name="OLE_LINK217"/>
            <w:r>
              <w:rPr>
                <w:rFonts w:ascii="宋体" w:hAnsi="宋体" w:hint="eastAsia"/>
                <w:sz w:val="24"/>
              </w:rPr>
              <w:t>该</w:t>
            </w:r>
            <w:r w:rsidR="00213CA4" w:rsidRPr="00213CA4">
              <w:rPr>
                <w:rFonts w:ascii="宋体" w:hAnsi="宋体" w:hint="eastAsia"/>
                <w:sz w:val="24"/>
              </w:rPr>
              <w:t>产品适用于眼前节和眼后节进行断层成像检查及</w:t>
            </w:r>
            <w:bookmarkStart w:id="4" w:name="OLE_LINK180"/>
            <w:bookmarkStart w:id="5" w:name="OLE_LINK181"/>
            <w:r w:rsidR="00213CA4" w:rsidRPr="00213CA4">
              <w:rPr>
                <w:rFonts w:ascii="宋体" w:hAnsi="宋体" w:hint="eastAsia"/>
                <w:sz w:val="24"/>
              </w:rPr>
              <w:t>眼后节血流成像</w:t>
            </w:r>
            <w:bookmarkEnd w:id="4"/>
            <w:bookmarkEnd w:id="5"/>
            <w:r w:rsidR="00213CA4" w:rsidRPr="00213CA4">
              <w:rPr>
                <w:rFonts w:ascii="宋体" w:hAnsi="宋体" w:hint="eastAsia"/>
                <w:sz w:val="24"/>
              </w:rPr>
              <w:t>，由经过培训的人员操作使用。</w:t>
            </w:r>
            <w:bookmarkEnd w:id="2"/>
            <w:bookmarkEnd w:id="3"/>
          </w:p>
          <w:p w:rsidR="002B3B43" w:rsidRPr="00F7477B" w:rsidRDefault="002B3B43" w:rsidP="002B3B43">
            <w:pPr>
              <w:spacing w:line="460" w:lineRule="exact"/>
              <w:rPr>
                <w:rFonts w:ascii="宋体" w:hAnsi="宋体"/>
                <w:sz w:val="24"/>
              </w:rPr>
            </w:pPr>
            <w:r w:rsidRPr="00F7477B">
              <w:rPr>
                <w:rFonts w:ascii="宋体" w:hAnsi="宋体" w:hint="eastAsia"/>
                <w:sz w:val="24"/>
              </w:rPr>
              <w:t>二、主要组成</w:t>
            </w:r>
          </w:p>
          <w:p w:rsidR="002B3B43" w:rsidRDefault="00B30ADD" w:rsidP="00B30ADD">
            <w:pPr>
              <w:spacing w:line="360" w:lineRule="auto"/>
              <w:ind w:firstLine="560"/>
              <w:rPr>
                <w:rFonts w:ascii="宋体" w:hAnsi="宋体"/>
                <w:sz w:val="24"/>
              </w:rPr>
            </w:pPr>
            <w:r w:rsidRPr="00B30ADD">
              <w:rPr>
                <w:rFonts w:ascii="宋体" w:hAnsi="宋体" w:hint="eastAsia"/>
                <w:sz w:val="24"/>
              </w:rPr>
              <w:t xml:space="preserve">该产品由设备主机、显示器、键盘、鼠标、眼前节适配器、TOPI-SIGMA 影像客户端软件(发布版本 V1)组成。 </w:t>
            </w:r>
          </w:p>
          <w:p w:rsidR="002B3B43" w:rsidRDefault="002B3B43" w:rsidP="002B3B43">
            <w:pPr>
              <w:spacing w:line="460" w:lineRule="exact"/>
              <w:rPr>
                <w:rFonts w:ascii="宋体" w:hAnsi="宋体"/>
                <w:sz w:val="24"/>
              </w:rPr>
            </w:pPr>
            <w:r>
              <w:rPr>
                <w:rFonts w:ascii="宋体" w:hAnsi="宋体" w:hint="eastAsia"/>
                <w:sz w:val="24"/>
              </w:rPr>
              <w:t>三、</w:t>
            </w:r>
            <w:r w:rsidRPr="006B22E8">
              <w:rPr>
                <w:rFonts w:ascii="宋体" w:hAnsi="宋体" w:hint="eastAsia"/>
                <w:sz w:val="24"/>
              </w:rPr>
              <w:t>型号/规格</w:t>
            </w:r>
          </w:p>
          <w:p w:rsidR="002B3B43" w:rsidRDefault="00B30ADD" w:rsidP="00B16DC8">
            <w:pPr>
              <w:spacing w:line="360" w:lineRule="auto"/>
              <w:ind w:firstLine="560"/>
              <w:rPr>
                <w:rFonts w:ascii="宋体" w:hAnsi="宋体"/>
                <w:sz w:val="24"/>
              </w:rPr>
            </w:pPr>
            <w:r>
              <w:rPr>
                <w:rFonts w:ascii="宋体" w:hAnsi="宋体" w:hint="eastAsia"/>
                <w:sz w:val="24"/>
              </w:rPr>
              <w:t>T</w:t>
            </w:r>
            <w:r>
              <w:rPr>
                <w:rFonts w:ascii="宋体" w:hAnsi="宋体"/>
                <w:sz w:val="24"/>
              </w:rPr>
              <w:t>OPI-SIGMA 1000</w:t>
            </w:r>
          </w:p>
          <w:p w:rsidR="00F0028F" w:rsidRDefault="00F0028F" w:rsidP="00F0028F">
            <w:pPr>
              <w:spacing w:line="360" w:lineRule="auto"/>
              <w:rPr>
                <w:rFonts w:ascii="宋体" w:hAnsi="宋体"/>
                <w:sz w:val="24"/>
              </w:rPr>
            </w:pPr>
            <w:r>
              <w:rPr>
                <w:rFonts w:ascii="宋体" w:hAnsi="宋体" w:hint="eastAsia"/>
                <w:sz w:val="24"/>
              </w:rPr>
              <w:t>四、分类编码</w:t>
            </w:r>
          </w:p>
          <w:p w:rsidR="00213CA4" w:rsidRPr="00213CA4" w:rsidRDefault="00F0028F" w:rsidP="00213CA4">
            <w:pPr>
              <w:spacing w:line="360" w:lineRule="auto"/>
              <w:ind w:firstLine="560"/>
              <w:rPr>
                <w:rFonts w:ascii="宋体" w:hAnsi="宋体"/>
                <w:sz w:val="24"/>
              </w:rPr>
            </w:pPr>
            <w:r w:rsidRPr="00213CA4">
              <w:rPr>
                <w:rFonts w:ascii="宋体" w:hAnsi="宋体" w:hint="eastAsia"/>
                <w:sz w:val="24"/>
              </w:rPr>
              <w:t>产品的分类编码为</w:t>
            </w:r>
            <w:r w:rsidR="00213CA4" w:rsidRPr="00213CA4">
              <w:rPr>
                <w:rFonts w:ascii="宋体" w:hAnsi="宋体" w:hint="eastAsia"/>
                <w:sz w:val="24"/>
              </w:rPr>
              <w:t>16眼科器械，一级产品类别为04眼科测量诊断设备和器具，即1</w:t>
            </w:r>
            <w:r w:rsidR="00213CA4" w:rsidRPr="00213CA4">
              <w:rPr>
                <w:rFonts w:ascii="宋体" w:hAnsi="宋体"/>
                <w:sz w:val="24"/>
              </w:rPr>
              <w:t>6-04</w:t>
            </w:r>
            <w:r w:rsidR="009935B8">
              <w:rPr>
                <w:rFonts w:ascii="宋体" w:hAnsi="宋体" w:hint="eastAsia"/>
                <w:sz w:val="24"/>
              </w:rPr>
              <w:t>-04</w:t>
            </w:r>
            <w:r w:rsidR="00213CA4" w:rsidRPr="00213CA4">
              <w:rPr>
                <w:rFonts w:ascii="宋体" w:hAnsi="宋体" w:hint="eastAsia"/>
                <w:sz w:val="24"/>
              </w:rPr>
              <w:t>，管理类别为Ⅱ类。</w:t>
            </w:r>
          </w:p>
          <w:p w:rsidR="002B3B43" w:rsidRPr="00F7477B" w:rsidRDefault="00F0028F" w:rsidP="002B3B43">
            <w:pPr>
              <w:spacing w:line="460" w:lineRule="exact"/>
              <w:rPr>
                <w:rFonts w:ascii="宋体" w:hAnsi="宋体"/>
                <w:sz w:val="24"/>
              </w:rPr>
            </w:pPr>
            <w:r>
              <w:rPr>
                <w:rFonts w:ascii="宋体" w:hAnsi="宋体" w:hint="eastAsia"/>
                <w:sz w:val="24"/>
              </w:rPr>
              <w:t>五</w:t>
            </w:r>
            <w:r w:rsidR="002B3B43" w:rsidRPr="00F7477B">
              <w:rPr>
                <w:rFonts w:ascii="宋体" w:hAnsi="宋体" w:hint="eastAsia"/>
                <w:sz w:val="24"/>
              </w:rPr>
              <w:t>、工作原理</w:t>
            </w:r>
          </w:p>
          <w:p w:rsidR="00442EB2" w:rsidRPr="00551FCD" w:rsidRDefault="00213CA4" w:rsidP="00551FCD">
            <w:pPr>
              <w:spacing w:line="360" w:lineRule="auto"/>
              <w:ind w:firstLine="560"/>
              <w:rPr>
                <w:rFonts w:ascii="宋体" w:hAnsi="宋体"/>
                <w:sz w:val="24"/>
              </w:rPr>
            </w:pPr>
            <w:r>
              <w:rPr>
                <w:rFonts w:ascii="宋体" w:hAnsi="宋体" w:hint="eastAsia"/>
                <w:sz w:val="24"/>
              </w:rPr>
              <w:t>该产品的</w:t>
            </w:r>
            <w:r w:rsidRPr="00213CA4">
              <w:rPr>
                <w:rFonts w:ascii="宋体" w:hAnsi="宋体" w:hint="eastAsia"/>
                <w:sz w:val="24"/>
              </w:rPr>
              <w:t>工作原理是</w:t>
            </w:r>
            <w:r w:rsidRPr="00213CA4">
              <w:rPr>
                <w:rFonts w:ascii="宋体" w:hAnsi="宋体"/>
                <w:sz w:val="24"/>
              </w:rPr>
              <w:t>通过近红外光的光干涉测定和计算来自眼组织的后向散射光，进而生成眼组织断层像。当光线自无穷远处入射到人眼后，一部分光线被眼内组织吸收，余下的被组织反射或散射，这部分反射或散射回来的光线被光学相干断层扫描仪接收，通过光学相干的原理滤除非特定组织产生的杂散光，从而保证光线对特定受检组织的高度选择性及清晰地成像。眼科光学相干断层扫描仪通过眼内各种组织对光的反射、吸收及散射能力的不同对组织进行成像，达到清晰地分辨组织结构的目的。</w:t>
            </w:r>
          </w:p>
        </w:tc>
      </w:tr>
      <w:tr w:rsidR="00241A67" w:rsidTr="001311D0">
        <w:trPr>
          <w:trHeight w:val="1092"/>
          <w:jc w:val="center"/>
        </w:trPr>
        <w:tc>
          <w:tcPr>
            <w:tcW w:w="619" w:type="pct"/>
            <w:tcBorders>
              <w:left w:val="single" w:sz="6" w:space="0" w:color="auto"/>
              <w:right w:val="single" w:sz="4" w:space="0" w:color="auto"/>
            </w:tcBorders>
            <w:shd w:val="clear" w:color="auto" w:fill="FFFFFF"/>
            <w:vAlign w:val="center"/>
          </w:tcPr>
          <w:p w:rsidR="00442EB2" w:rsidRPr="00976FD3" w:rsidRDefault="002611A6" w:rsidP="00470298">
            <w:pPr>
              <w:jc w:val="center"/>
              <w:rPr>
                <w:rFonts w:ascii="宋体" w:hAnsi="宋体"/>
                <w:color w:val="0070C0"/>
                <w:sz w:val="24"/>
              </w:rPr>
            </w:pPr>
            <w:r>
              <w:rPr>
                <w:rFonts w:ascii="宋体" w:hAnsi="宋体" w:cs="宋体" w:hint="eastAsia"/>
                <w:sz w:val="28"/>
                <w:szCs w:val="28"/>
              </w:rPr>
              <w:t>有关产品安全性、有效性主要评价内容</w:t>
            </w:r>
          </w:p>
        </w:tc>
        <w:tc>
          <w:tcPr>
            <w:tcW w:w="4381" w:type="pct"/>
            <w:tcBorders>
              <w:top w:val="single" w:sz="6" w:space="0" w:color="auto"/>
              <w:left w:val="single" w:sz="4" w:space="0" w:color="auto"/>
              <w:right w:val="single" w:sz="6" w:space="0" w:color="auto"/>
            </w:tcBorders>
            <w:shd w:val="clear" w:color="auto" w:fill="FFFFFF"/>
          </w:tcPr>
          <w:p w:rsidR="00BF47C4" w:rsidRPr="006B22E8" w:rsidRDefault="00BF47C4" w:rsidP="00BF47C4">
            <w:pPr>
              <w:spacing w:line="360" w:lineRule="auto"/>
              <w:rPr>
                <w:rFonts w:ascii="宋体" w:hAnsi="宋体" w:cs="宋体"/>
                <w:sz w:val="24"/>
              </w:rPr>
            </w:pPr>
            <w:r w:rsidRPr="006B22E8">
              <w:rPr>
                <w:rFonts w:ascii="宋体" w:hAnsi="宋体" w:cs="宋体" w:hint="eastAsia"/>
                <w:sz w:val="24"/>
              </w:rPr>
              <w:t>一、关于安全性</w:t>
            </w:r>
          </w:p>
          <w:p w:rsidR="00BF47C4" w:rsidRPr="006B22E8" w:rsidRDefault="00BF47C4" w:rsidP="00BF47C4">
            <w:pPr>
              <w:spacing w:line="360" w:lineRule="auto"/>
              <w:rPr>
                <w:rFonts w:ascii="宋体" w:hAnsi="宋体" w:cs="宋体"/>
                <w:sz w:val="24"/>
              </w:rPr>
            </w:pPr>
            <w:r w:rsidRPr="006B22E8">
              <w:rPr>
                <w:rFonts w:ascii="宋体" w:hAnsi="宋体" w:cs="宋体" w:hint="eastAsia"/>
                <w:sz w:val="24"/>
              </w:rPr>
              <w:t>（一）产品性能</w:t>
            </w:r>
            <w:r>
              <w:rPr>
                <w:rFonts w:ascii="宋体" w:hAnsi="宋体" w:cs="宋体" w:hint="eastAsia"/>
                <w:sz w:val="24"/>
              </w:rPr>
              <w:t>研究</w:t>
            </w:r>
          </w:p>
          <w:p w:rsidR="00BF47C4" w:rsidRDefault="00BF47C4" w:rsidP="00BF47C4">
            <w:pPr>
              <w:spacing w:line="360" w:lineRule="auto"/>
              <w:ind w:firstLineChars="200" w:firstLine="480"/>
              <w:rPr>
                <w:rFonts w:ascii="宋体" w:hAnsi="宋体" w:cs="宋体"/>
                <w:sz w:val="24"/>
              </w:rPr>
            </w:pPr>
            <w:r w:rsidRPr="006B22E8">
              <w:rPr>
                <w:rFonts w:ascii="宋体" w:hAnsi="宋体" w:cs="宋体" w:hint="eastAsia"/>
                <w:sz w:val="24"/>
              </w:rPr>
              <w:t>提供了产品性能研究资料以及产品技术要求的研究和编制说明，给出了产品电气安全特征、专用安全要求、环境试验要求、产品电磁兼容等安全性指标、功能性指标以及与质量控制相关的其他指标的确定依据。</w:t>
            </w:r>
          </w:p>
          <w:p w:rsidR="00BF47C4" w:rsidRPr="008527E7" w:rsidRDefault="00BF47C4" w:rsidP="008527E7">
            <w:pPr>
              <w:spacing w:line="360" w:lineRule="auto"/>
              <w:ind w:firstLineChars="200" w:firstLine="480"/>
              <w:rPr>
                <w:rFonts w:ascii="宋体" w:hAnsi="宋体" w:cs="宋体"/>
                <w:sz w:val="24"/>
              </w:rPr>
            </w:pPr>
            <w:r>
              <w:rPr>
                <w:rFonts w:ascii="宋体" w:hAnsi="宋体" w:cs="宋体" w:hint="eastAsia"/>
                <w:sz w:val="24"/>
              </w:rPr>
              <w:t>产品</w:t>
            </w:r>
            <w:r w:rsidRPr="006B22E8">
              <w:rPr>
                <w:rFonts w:ascii="宋体" w:hAnsi="宋体" w:cs="宋体" w:hint="eastAsia"/>
                <w:sz w:val="24"/>
              </w:rPr>
              <w:t>参考了相关的国家、行业标准，包括 ：GB 9706.1-2007</w:t>
            </w:r>
            <w:r>
              <w:rPr>
                <w:rFonts w:ascii="宋体" w:hAnsi="宋体" w:cs="宋体" w:hint="eastAsia"/>
                <w:sz w:val="24"/>
              </w:rPr>
              <w:t>《</w:t>
            </w:r>
            <w:r w:rsidRPr="00D12328">
              <w:rPr>
                <w:rFonts w:ascii="宋体" w:hAnsi="宋体" w:cs="宋体" w:hint="eastAsia"/>
                <w:sz w:val="24"/>
              </w:rPr>
              <w:t>医用电气设备 第一部分:安全通用要求</w:t>
            </w:r>
            <w:r>
              <w:rPr>
                <w:rFonts w:ascii="宋体" w:hAnsi="宋体" w:cs="宋体" w:hint="eastAsia"/>
                <w:sz w:val="24"/>
              </w:rPr>
              <w:t>》</w:t>
            </w:r>
            <w:r w:rsidRPr="006B22E8">
              <w:rPr>
                <w:rFonts w:ascii="宋体" w:hAnsi="宋体" w:cs="宋体" w:hint="eastAsia"/>
                <w:sz w:val="24"/>
              </w:rPr>
              <w:t>、</w:t>
            </w:r>
            <w:bookmarkStart w:id="6" w:name="OLE_LINK3"/>
            <w:bookmarkStart w:id="7" w:name="OLE_LINK4"/>
            <w:r w:rsidR="0069782D" w:rsidRPr="0069782D">
              <w:rPr>
                <w:rFonts w:ascii="宋体" w:hAnsi="宋体" w:cs="宋体"/>
                <w:sz w:val="24"/>
              </w:rPr>
              <w:t>GB7247.1-2012</w:t>
            </w:r>
            <w:bookmarkEnd w:id="6"/>
            <w:bookmarkEnd w:id="7"/>
            <w:r w:rsidR="0069782D" w:rsidRPr="0069782D">
              <w:rPr>
                <w:rFonts w:ascii="宋体" w:hAnsi="宋体" w:cs="宋体" w:hint="eastAsia"/>
                <w:sz w:val="24"/>
              </w:rPr>
              <w:t>《激光产品的安全第</w:t>
            </w:r>
            <w:r w:rsidR="0069782D" w:rsidRPr="0069782D">
              <w:rPr>
                <w:rFonts w:ascii="宋体" w:hAnsi="宋体" w:cs="宋体"/>
                <w:sz w:val="24"/>
              </w:rPr>
              <w:t>1部分设备分类、要求》</w:t>
            </w:r>
            <w:r w:rsidR="0069782D" w:rsidRPr="0069782D">
              <w:rPr>
                <w:rFonts w:ascii="宋体" w:hAnsi="宋体" w:cs="宋体" w:hint="eastAsia"/>
                <w:sz w:val="24"/>
              </w:rPr>
              <w:t>、</w:t>
            </w:r>
            <w:r w:rsidR="0069782D" w:rsidRPr="0069782D">
              <w:rPr>
                <w:rFonts w:ascii="宋体" w:hAnsi="宋体" w:cs="宋体"/>
                <w:sz w:val="24"/>
              </w:rPr>
              <w:t>YY0505-2012</w:t>
            </w:r>
            <w:r w:rsidR="0069782D" w:rsidRPr="0069782D">
              <w:rPr>
                <w:rFonts w:ascii="宋体" w:hAnsi="宋体" w:cs="宋体" w:hint="eastAsia"/>
                <w:sz w:val="24"/>
              </w:rPr>
              <w:t>《医用电气设备第</w:t>
            </w:r>
            <w:r w:rsidR="0069782D" w:rsidRPr="0069782D">
              <w:rPr>
                <w:rFonts w:ascii="宋体" w:hAnsi="宋体" w:cs="宋体"/>
                <w:sz w:val="24"/>
              </w:rPr>
              <w:t>1-2</w:t>
            </w:r>
            <w:r w:rsidR="0069782D" w:rsidRPr="0069782D">
              <w:rPr>
                <w:rFonts w:ascii="宋体" w:hAnsi="宋体" w:cs="宋体" w:hint="eastAsia"/>
                <w:sz w:val="24"/>
              </w:rPr>
              <w:lastRenderedPageBreak/>
              <w:t>部分：安全通用要求并列标准：电磁兼容要求和试验》</w:t>
            </w:r>
            <w:r w:rsidR="006D445E" w:rsidRPr="0069782D">
              <w:rPr>
                <w:rFonts w:ascii="宋体" w:hAnsi="宋体" w:cs="宋体" w:hint="eastAsia"/>
                <w:sz w:val="24"/>
              </w:rPr>
              <w:t>、</w:t>
            </w:r>
            <w:r w:rsidRPr="006B22E8">
              <w:rPr>
                <w:rFonts w:ascii="宋体" w:hAnsi="宋体" w:cs="宋体" w:hint="eastAsia"/>
                <w:sz w:val="24"/>
              </w:rPr>
              <w:t>GB/T 14710-2009</w:t>
            </w:r>
            <w:r>
              <w:rPr>
                <w:rFonts w:ascii="宋体" w:hAnsi="宋体" w:cs="宋体" w:hint="eastAsia"/>
                <w:sz w:val="24"/>
              </w:rPr>
              <w:t>《</w:t>
            </w:r>
            <w:r w:rsidRPr="00D12328">
              <w:rPr>
                <w:rFonts w:ascii="宋体" w:hAnsi="宋体" w:cs="宋体" w:hint="eastAsia"/>
                <w:sz w:val="24"/>
              </w:rPr>
              <w:t>医用电器环境要求及试验方法</w:t>
            </w:r>
            <w:r>
              <w:rPr>
                <w:rFonts w:ascii="宋体" w:hAnsi="宋体" w:cs="宋体" w:hint="eastAsia"/>
                <w:sz w:val="24"/>
              </w:rPr>
              <w:t>》</w:t>
            </w:r>
            <w:r w:rsidRPr="006B22E8">
              <w:rPr>
                <w:rFonts w:ascii="宋体" w:hAnsi="宋体" w:cs="宋体" w:hint="eastAsia"/>
                <w:sz w:val="24"/>
              </w:rPr>
              <w:t>。性能指标</w:t>
            </w:r>
            <w:r w:rsidR="00CE19B4">
              <w:rPr>
                <w:rFonts w:ascii="宋体" w:hAnsi="宋体" w:cs="宋体" w:hint="eastAsia"/>
                <w:sz w:val="24"/>
              </w:rPr>
              <w:t>还参考</w:t>
            </w:r>
            <w:bookmarkStart w:id="8" w:name="OLE_LINK40"/>
            <w:bookmarkStart w:id="9" w:name="OLE_LINK41"/>
            <w:r w:rsidR="00CE19B4" w:rsidRPr="008527E7">
              <w:rPr>
                <w:rFonts w:ascii="宋体" w:hAnsi="宋体" w:cs="宋体" w:hint="eastAsia"/>
                <w:sz w:val="24"/>
              </w:rPr>
              <w:t>《</w:t>
            </w:r>
            <w:r w:rsidR="00CE19B4" w:rsidRPr="00CE19B4">
              <w:rPr>
                <w:rFonts w:ascii="宋体" w:hAnsi="宋体" w:cs="宋体" w:hint="eastAsia"/>
                <w:sz w:val="24"/>
              </w:rPr>
              <w:t>眼科光学相干断层扫描仪注册技术审查指导原则》（总局2018年第44号通告）</w:t>
            </w:r>
            <w:r w:rsidRPr="006B22E8">
              <w:rPr>
                <w:rFonts w:ascii="宋体" w:hAnsi="宋体" w:cs="宋体" w:hint="eastAsia"/>
                <w:sz w:val="24"/>
              </w:rPr>
              <w:t>的要求</w:t>
            </w:r>
            <w:bookmarkEnd w:id="8"/>
            <w:bookmarkEnd w:id="9"/>
            <w:r w:rsidR="00CE19B4">
              <w:rPr>
                <w:rFonts w:ascii="宋体" w:hAnsi="宋体" w:cs="宋体" w:hint="eastAsia"/>
                <w:sz w:val="24"/>
              </w:rPr>
              <w:t>。</w:t>
            </w:r>
            <w:r w:rsidRPr="006B22E8">
              <w:rPr>
                <w:rFonts w:ascii="宋体" w:hAnsi="宋体" w:cs="宋体" w:hint="eastAsia"/>
                <w:sz w:val="24"/>
              </w:rPr>
              <w:t>产品通过</w:t>
            </w:r>
            <w:r w:rsidR="008527E7" w:rsidRPr="008527E7">
              <w:rPr>
                <w:rFonts w:ascii="宋体" w:hAnsi="宋体" w:cs="宋体" w:hint="eastAsia"/>
                <w:sz w:val="24"/>
              </w:rPr>
              <w:t>国家食品药品监督管理局天津市医疗器械质量监督检验中心</w:t>
            </w:r>
            <w:r w:rsidR="008527E7">
              <w:rPr>
                <w:rFonts w:ascii="宋体" w:hAnsi="宋体" w:cs="宋体" w:hint="eastAsia"/>
                <w:sz w:val="24"/>
              </w:rPr>
              <w:t>的</w:t>
            </w:r>
            <w:r w:rsidRPr="006B22E8">
              <w:rPr>
                <w:rFonts w:ascii="宋体" w:hAnsi="宋体" w:cs="宋体" w:hint="eastAsia"/>
                <w:sz w:val="24"/>
              </w:rPr>
              <w:t>检测，取得合格的检测报告。</w:t>
            </w:r>
          </w:p>
          <w:p w:rsidR="00B450DA" w:rsidRPr="006B22E8" w:rsidRDefault="00B450DA" w:rsidP="00B450DA">
            <w:pPr>
              <w:spacing w:line="360" w:lineRule="auto"/>
              <w:rPr>
                <w:rFonts w:ascii="宋体" w:hAnsi="宋体" w:cs="宋体"/>
                <w:sz w:val="24"/>
              </w:rPr>
            </w:pPr>
            <w:r w:rsidRPr="006B22E8">
              <w:rPr>
                <w:rFonts w:ascii="宋体" w:hAnsi="宋体" w:cs="宋体" w:hint="eastAsia"/>
                <w:sz w:val="24"/>
              </w:rPr>
              <w:t>（二）生物相容性</w:t>
            </w:r>
          </w:p>
          <w:p w:rsidR="00B450DA" w:rsidRPr="00B504AA" w:rsidRDefault="008527E7" w:rsidP="00B504AA">
            <w:pPr>
              <w:pStyle w:val="aa"/>
              <w:tabs>
                <w:tab w:val="left" w:pos="567"/>
              </w:tabs>
              <w:adjustRightInd w:val="0"/>
              <w:snapToGrid w:val="0"/>
              <w:spacing w:line="500" w:lineRule="exact"/>
              <w:ind w:firstLine="480"/>
              <w:rPr>
                <w:rFonts w:ascii="Songti SC" w:hAnsi="Songti SC" w:cs="Times New Roman"/>
                <w:snapToGrid w:val="0"/>
                <w:color w:val="000000" w:themeColor="text1"/>
              </w:rPr>
            </w:pPr>
            <w:r>
              <w:rPr>
                <w:rFonts w:ascii="Songti SC" w:hAnsi="Songti SC" w:cs="Times New Roman" w:hint="eastAsia"/>
                <w:snapToGrid w:val="0"/>
                <w:color w:val="000000" w:themeColor="text1"/>
              </w:rPr>
              <w:t>该产品与</w:t>
            </w:r>
            <w:r w:rsidRPr="00BF71F7">
              <w:rPr>
                <w:rFonts w:ascii="Songti SC" w:hAnsi="Songti SC" w:cs="Times New Roman" w:hint="eastAsia"/>
                <w:snapToGrid w:val="0"/>
                <w:color w:val="000000" w:themeColor="text1"/>
              </w:rPr>
              <w:t>接触患者部分</w:t>
            </w:r>
            <w:r w:rsidR="00B504AA">
              <w:rPr>
                <w:rFonts w:ascii="Songti SC" w:hAnsi="Songti SC" w:cs="Times New Roman" w:hint="eastAsia"/>
                <w:snapToGrid w:val="0"/>
                <w:color w:val="000000" w:themeColor="text1"/>
              </w:rPr>
              <w:t>有</w:t>
            </w:r>
            <w:r w:rsidRPr="00BF71F7">
              <w:rPr>
                <w:rFonts w:ascii="Songti SC" w:hAnsi="Songti SC" w:cs="Times New Roman" w:hint="eastAsia"/>
                <w:snapToGrid w:val="0"/>
                <w:color w:val="000000" w:themeColor="text1"/>
              </w:rPr>
              <w:t>额托</w:t>
            </w:r>
            <w:r w:rsidR="00B504AA">
              <w:rPr>
                <w:rFonts w:ascii="Songti SC" w:hAnsi="Songti SC" w:cs="Times New Roman" w:hint="eastAsia"/>
                <w:snapToGrid w:val="0"/>
                <w:color w:val="000000" w:themeColor="text1"/>
              </w:rPr>
              <w:t>和</w:t>
            </w:r>
            <w:r w:rsidRPr="00BF71F7">
              <w:rPr>
                <w:rFonts w:ascii="Songti SC" w:hAnsi="Songti SC" w:cs="Times New Roman" w:hint="eastAsia"/>
                <w:snapToGrid w:val="0"/>
                <w:color w:val="000000" w:themeColor="text1"/>
              </w:rPr>
              <w:t>颏托</w:t>
            </w:r>
            <w:r w:rsidR="00B504AA">
              <w:rPr>
                <w:rFonts w:ascii="Songti SC" w:hAnsi="Songti SC" w:cs="Times New Roman" w:hint="eastAsia"/>
                <w:snapToGrid w:val="0"/>
                <w:color w:val="000000" w:themeColor="text1"/>
              </w:rPr>
              <w:t>等，按照</w:t>
            </w:r>
            <w:r w:rsidR="00B504AA" w:rsidRPr="008527E7">
              <w:rPr>
                <w:rFonts w:hint="eastAsia"/>
              </w:rPr>
              <w:t>《</w:t>
            </w:r>
            <w:r w:rsidR="00B504AA" w:rsidRPr="00CE19B4">
              <w:rPr>
                <w:rFonts w:hint="eastAsia"/>
              </w:rPr>
              <w:t>眼科光学相干断层扫描仪注册技术审查指导原则》（总局2018年第44号通告）</w:t>
            </w:r>
            <w:r w:rsidR="00B504AA" w:rsidRPr="006B22E8">
              <w:rPr>
                <w:rFonts w:hint="eastAsia"/>
              </w:rPr>
              <w:t>的要求</w:t>
            </w:r>
            <w:r w:rsidR="00B504AA">
              <w:rPr>
                <w:rFonts w:hint="eastAsia"/>
              </w:rPr>
              <w:t>，</w:t>
            </w:r>
            <w:r w:rsidRPr="00BF71F7">
              <w:rPr>
                <w:rFonts w:ascii="Songti SC" w:hAnsi="Songti SC" w:cs="Times New Roman" w:hint="eastAsia"/>
                <w:snapToGrid w:val="0"/>
                <w:color w:val="000000" w:themeColor="text1"/>
              </w:rPr>
              <w:t>采取配合颏托纸和额托纸使用的方式进行处理，建议使用者佩戴手套，不与患者和使用者直接接触。</w:t>
            </w:r>
          </w:p>
          <w:p w:rsidR="00B450DA" w:rsidRPr="006B22E8" w:rsidRDefault="00B450DA" w:rsidP="00B450DA">
            <w:pPr>
              <w:spacing w:line="360" w:lineRule="auto"/>
              <w:rPr>
                <w:rFonts w:ascii="宋体" w:hAnsi="宋体" w:cs="宋体"/>
                <w:sz w:val="24"/>
              </w:rPr>
            </w:pPr>
            <w:r w:rsidRPr="006B22E8">
              <w:rPr>
                <w:rFonts w:ascii="宋体" w:hAnsi="宋体" w:cs="宋体" w:hint="eastAsia"/>
                <w:sz w:val="24"/>
              </w:rPr>
              <w:t>（三）灭菌</w:t>
            </w:r>
          </w:p>
          <w:p w:rsidR="00B450DA" w:rsidRPr="006B22E8" w:rsidRDefault="00B450DA" w:rsidP="00B450DA">
            <w:pPr>
              <w:spacing w:line="360" w:lineRule="auto"/>
              <w:ind w:firstLineChars="200" w:firstLine="480"/>
              <w:rPr>
                <w:rFonts w:ascii="宋体" w:hAnsi="宋体" w:cs="宋体"/>
                <w:sz w:val="24"/>
              </w:rPr>
            </w:pPr>
            <w:r w:rsidRPr="006B22E8">
              <w:rPr>
                <w:rFonts w:ascii="宋体" w:hAnsi="宋体" w:cs="宋体" w:hint="eastAsia"/>
                <w:sz w:val="24"/>
              </w:rPr>
              <w:t>产品为非无菌产品。提供了消毒研究以及消毒方法的选择原则和依据。</w:t>
            </w:r>
            <w:r>
              <w:rPr>
                <w:rFonts w:ascii="宋体" w:hAnsi="宋体" w:cs="宋体" w:hint="eastAsia"/>
                <w:sz w:val="24"/>
              </w:rPr>
              <w:t>在说明书中明确了</w:t>
            </w:r>
            <w:r w:rsidR="00681809">
              <w:rPr>
                <w:rFonts w:ascii="宋体" w:hAnsi="宋体" w:cs="宋体" w:hint="eastAsia"/>
                <w:sz w:val="24"/>
              </w:rPr>
              <w:t>产品清洁、</w:t>
            </w:r>
            <w:r w:rsidRPr="006B22E8">
              <w:rPr>
                <w:rFonts w:ascii="宋体" w:hAnsi="宋体" w:cs="宋体" w:hint="eastAsia"/>
                <w:sz w:val="24"/>
              </w:rPr>
              <w:t>消毒方法</w:t>
            </w:r>
            <w:r w:rsidR="00681809">
              <w:rPr>
                <w:rFonts w:ascii="宋体" w:hAnsi="宋体" w:cs="宋体" w:hint="eastAsia"/>
                <w:sz w:val="24"/>
              </w:rPr>
              <w:t>，</w:t>
            </w:r>
            <w:r w:rsidRPr="006B22E8">
              <w:rPr>
                <w:rFonts w:ascii="宋体" w:hAnsi="宋体" w:cs="宋体" w:hint="eastAsia"/>
                <w:sz w:val="24"/>
              </w:rPr>
              <w:t>降低产品非预期接触患者</w:t>
            </w:r>
            <w:r w:rsidR="00681809">
              <w:rPr>
                <w:rFonts w:ascii="宋体" w:hAnsi="宋体" w:cs="宋体" w:hint="eastAsia"/>
                <w:sz w:val="24"/>
              </w:rPr>
              <w:t>感染</w:t>
            </w:r>
            <w:r w:rsidRPr="006B22E8">
              <w:rPr>
                <w:rFonts w:ascii="宋体" w:hAnsi="宋体" w:cs="宋体" w:hint="eastAsia"/>
                <w:sz w:val="24"/>
              </w:rPr>
              <w:t>的风险。</w:t>
            </w:r>
          </w:p>
          <w:p w:rsidR="00B450DA" w:rsidRPr="006B22E8" w:rsidRDefault="00B450DA" w:rsidP="00B450DA">
            <w:pPr>
              <w:spacing w:line="360" w:lineRule="auto"/>
              <w:rPr>
                <w:rFonts w:ascii="宋体" w:hAnsi="宋体" w:cs="宋体"/>
                <w:sz w:val="24"/>
              </w:rPr>
            </w:pPr>
            <w:r w:rsidRPr="006B22E8">
              <w:rPr>
                <w:rFonts w:ascii="宋体" w:hAnsi="宋体" w:cs="宋体" w:hint="eastAsia"/>
                <w:sz w:val="24"/>
              </w:rPr>
              <w:t>（四）产品有效期和包装</w:t>
            </w:r>
          </w:p>
          <w:p w:rsidR="00B450DA" w:rsidRPr="006B22E8" w:rsidRDefault="00B450DA" w:rsidP="003A72B4">
            <w:pPr>
              <w:spacing w:line="360" w:lineRule="auto"/>
              <w:ind w:firstLineChars="200" w:firstLine="480"/>
              <w:rPr>
                <w:rFonts w:ascii="宋体" w:hAnsi="宋体" w:cs="宋体"/>
                <w:sz w:val="24"/>
              </w:rPr>
            </w:pPr>
            <w:r w:rsidRPr="006B22E8">
              <w:rPr>
                <w:rFonts w:ascii="宋体" w:hAnsi="宋体" w:cs="宋体" w:hint="eastAsia"/>
                <w:sz w:val="24"/>
              </w:rPr>
              <w:t>该产品有效期为</w:t>
            </w:r>
            <w:r w:rsidR="004D58BF">
              <w:rPr>
                <w:rFonts w:ascii="宋体" w:hAnsi="宋体" w:cs="宋体" w:hint="eastAsia"/>
                <w:sz w:val="24"/>
              </w:rPr>
              <w:t>8</w:t>
            </w:r>
            <w:r w:rsidRPr="006B22E8">
              <w:rPr>
                <w:rFonts w:ascii="宋体" w:hAnsi="宋体" w:cs="宋体" w:hint="eastAsia"/>
                <w:sz w:val="24"/>
              </w:rPr>
              <w:t>年，申请人提供了有效期验证报告，通过对</w:t>
            </w:r>
            <w:r w:rsidR="004D58BF">
              <w:rPr>
                <w:rFonts w:ascii="宋体" w:hAnsi="宋体" w:cs="宋体" w:hint="eastAsia"/>
                <w:sz w:val="24"/>
              </w:rPr>
              <w:t>产品核心部件</w:t>
            </w:r>
            <w:r w:rsidRPr="006B22E8">
              <w:rPr>
                <w:rFonts w:ascii="宋体" w:hAnsi="宋体" w:cs="宋体" w:hint="eastAsia"/>
                <w:sz w:val="24"/>
              </w:rPr>
              <w:t>进行加速老化试验，并对试验后的产品进行性能功能测试，证明其可以达到</w:t>
            </w:r>
            <w:r w:rsidR="00477E35">
              <w:rPr>
                <w:rFonts w:ascii="宋体" w:hAnsi="宋体" w:cs="宋体" w:hint="eastAsia"/>
                <w:sz w:val="24"/>
              </w:rPr>
              <w:t>8</w:t>
            </w:r>
            <w:r w:rsidRPr="006B22E8">
              <w:rPr>
                <w:rFonts w:ascii="宋体" w:hAnsi="宋体" w:cs="宋体" w:hint="eastAsia"/>
                <w:sz w:val="24"/>
              </w:rPr>
              <w:t>年使用期限。同时还提供了包装验证报告，证明产品包装完整性及包装防护有效性。</w:t>
            </w:r>
          </w:p>
          <w:p w:rsidR="00B450DA" w:rsidRPr="006B22E8" w:rsidRDefault="00B450DA" w:rsidP="00B450DA">
            <w:pPr>
              <w:spacing w:line="360" w:lineRule="auto"/>
              <w:rPr>
                <w:rFonts w:ascii="宋体" w:hAnsi="宋体" w:cs="宋体"/>
                <w:sz w:val="24"/>
              </w:rPr>
            </w:pPr>
            <w:r w:rsidRPr="006B22E8">
              <w:rPr>
                <w:rFonts w:ascii="宋体" w:hAnsi="宋体" w:cs="宋体" w:hint="eastAsia"/>
                <w:sz w:val="24"/>
              </w:rPr>
              <w:t>（五）动物研究</w:t>
            </w:r>
          </w:p>
          <w:p w:rsidR="00B450DA" w:rsidRPr="006B22E8" w:rsidRDefault="00B450DA" w:rsidP="003A72B4">
            <w:pPr>
              <w:spacing w:line="360" w:lineRule="auto"/>
              <w:ind w:firstLineChars="200" w:firstLine="480"/>
              <w:rPr>
                <w:rFonts w:ascii="宋体" w:hAnsi="宋体" w:cs="宋体"/>
                <w:sz w:val="24"/>
              </w:rPr>
            </w:pPr>
            <w:r w:rsidRPr="006B22E8">
              <w:rPr>
                <w:rFonts w:ascii="宋体" w:hAnsi="宋体" w:cs="宋体" w:hint="eastAsia"/>
                <w:sz w:val="24"/>
              </w:rPr>
              <w:t>不适用。</w:t>
            </w:r>
          </w:p>
          <w:p w:rsidR="00B450DA" w:rsidRPr="006B22E8" w:rsidRDefault="00B450DA" w:rsidP="00B450DA">
            <w:pPr>
              <w:spacing w:line="360" w:lineRule="auto"/>
              <w:rPr>
                <w:rFonts w:ascii="宋体" w:hAnsi="宋体" w:cs="宋体"/>
                <w:sz w:val="24"/>
              </w:rPr>
            </w:pPr>
            <w:r w:rsidRPr="006B22E8">
              <w:rPr>
                <w:rFonts w:ascii="宋体" w:hAnsi="宋体" w:cs="宋体" w:hint="eastAsia"/>
                <w:sz w:val="24"/>
              </w:rPr>
              <w:t>（六）软件研究</w:t>
            </w:r>
          </w:p>
          <w:p w:rsidR="00B450DA" w:rsidRPr="006B22E8" w:rsidRDefault="00B450DA" w:rsidP="003A72B4">
            <w:pPr>
              <w:spacing w:line="360" w:lineRule="auto"/>
              <w:ind w:firstLineChars="200" w:firstLine="480"/>
              <w:rPr>
                <w:rFonts w:ascii="宋体" w:hAnsi="宋体" w:cs="宋体"/>
                <w:sz w:val="24"/>
              </w:rPr>
            </w:pPr>
            <w:r w:rsidRPr="006B22E8">
              <w:rPr>
                <w:rFonts w:ascii="宋体" w:hAnsi="宋体" w:cs="宋体" w:hint="eastAsia"/>
                <w:sz w:val="24"/>
              </w:rPr>
              <w:t>软件安全性级别为 B 级。申请人提供了《软件</w:t>
            </w:r>
            <w:r w:rsidR="00FC699E">
              <w:rPr>
                <w:rFonts w:ascii="宋体" w:hAnsi="宋体" w:cs="宋体" w:hint="eastAsia"/>
                <w:sz w:val="24"/>
              </w:rPr>
              <w:t>研究资料</w:t>
            </w:r>
            <w:r w:rsidRPr="006B22E8">
              <w:rPr>
                <w:rFonts w:ascii="宋体" w:hAnsi="宋体" w:cs="宋体" w:hint="eastAsia"/>
                <w:sz w:val="24"/>
              </w:rPr>
              <w:t>。</w:t>
            </w:r>
            <w:r w:rsidRPr="00D12328">
              <w:rPr>
                <w:rFonts w:ascii="宋体" w:hAnsi="宋体" w:cs="宋体" w:hint="eastAsia"/>
                <w:sz w:val="24"/>
              </w:rPr>
              <w:t>《软件</w:t>
            </w:r>
            <w:r w:rsidR="00FC699E">
              <w:rPr>
                <w:rFonts w:ascii="宋体" w:hAnsi="宋体" w:cs="宋体" w:hint="eastAsia"/>
                <w:sz w:val="24"/>
              </w:rPr>
              <w:t>研究资料</w:t>
            </w:r>
            <w:r w:rsidRPr="00D12328">
              <w:rPr>
                <w:rFonts w:ascii="宋体" w:hAnsi="宋体" w:cs="宋体" w:hint="eastAsia"/>
                <w:sz w:val="24"/>
              </w:rPr>
              <w:t>》包括开发概述风险管理、需求规范、生存周期、验证与确认测试等资料，表明该产品软件设计开发过程规范可控，剩余风险均可接受。</w:t>
            </w:r>
          </w:p>
          <w:p w:rsidR="002A7C15" w:rsidRPr="006B22E8" w:rsidRDefault="002A7C15" w:rsidP="002A7C15">
            <w:pPr>
              <w:spacing w:line="360" w:lineRule="auto"/>
              <w:rPr>
                <w:rFonts w:ascii="宋体" w:hAnsi="宋体" w:cs="宋体"/>
                <w:sz w:val="24"/>
              </w:rPr>
            </w:pPr>
            <w:r w:rsidRPr="006B22E8">
              <w:rPr>
                <w:rFonts w:ascii="宋体" w:hAnsi="宋体" w:cs="宋体" w:hint="eastAsia"/>
                <w:sz w:val="24"/>
              </w:rPr>
              <w:t>二、关于有效性</w:t>
            </w:r>
          </w:p>
          <w:p w:rsidR="00F0028F" w:rsidRDefault="00F0028F" w:rsidP="00F0028F">
            <w:pPr>
              <w:spacing w:line="360" w:lineRule="auto"/>
              <w:rPr>
                <w:rFonts w:ascii="宋体" w:hAnsi="宋体"/>
                <w:sz w:val="24"/>
              </w:rPr>
            </w:pPr>
            <w:r>
              <w:rPr>
                <w:rFonts w:ascii="宋体" w:hAnsi="宋体" w:cs="宋体" w:hint="eastAsia"/>
                <w:sz w:val="24"/>
              </w:rPr>
              <w:t>（一）</w:t>
            </w:r>
            <w:r>
              <w:rPr>
                <w:rFonts w:ascii="宋体" w:hAnsi="宋体" w:hint="eastAsia"/>
                <w:sz w:val="24"/>
              </w:rPr>
              <w:t>试验机构</w:t>
            </w:r>
          </w:p>
          <w:p w:rsidR="00F0028F" w:rsidRDefault="00F0028F" w:rsidP="00F0028F">
            <w:pPr>
              <w:spacing w:line="360" w:lineRule="auto"/>
              <w:ind w:firstLineChars="200" w:firstLine="480"/>
              <w:rPr>
                <w:rFonts w:ascii="宋体" w:hAnsi="宋体" w:cs="宋体"/>
                <w:sz w:val="24"/>
              </w:rPr>
            </w:pPr>
            <w:r w:rsidRPr="00052433">
              <w:rPr>
                <w:rFonts w:ascii="宋体" w:hAnsi="宋体" w:cs="宋体" w:hint="eastAsia"/>
                <w:sz w:val="24"/>
              </w:rPr>
              <w:t>按照《医疗器械临床试验质量管理规范》的要求进行了临床试验，临床试验机构为：</w:t>
            </w:r>
            <w:r w:rsidR="00C24749">
              <w:rPr>
                <w:rFonts w:ascii="宋体" w:hAnsi="宋体" w:cs="宋体" w:hint="eastAsia"/>
                <w:sz w:val="24"/>
              </w:rPr>
              <w:t>北京协和医院</w:t>
            </w:r>
            <w:r w:rsidRPr="000C0542">
              <w:rPr>
                <w:rFonts w:ascii="宋体" w:hAnsi="宋体" w:hint="eastAsia"/>
                <w:sz w:val="24"/>
              </w:rPr>
              <w:t>、</w:t>
            </w:r>
            <w:r w:rsidR="00C24749">
              <w:rPr>
                <w:rFonts w:ascii="宋体" w:hAnsi="宋体" w:hint="eastAsia"/>
                <w:sz w:val="24"/>
              </w:rPr>
              <w:t>北京清华长庚医院</w:t>
            </w:r>
            <w:r w:rsidRPr="000C0542">
              <w:rPr>
                <w:rFonts w:ascii="宋体" w:hAnsi="宋体" w:hint="eastAsia"/>
                <w:sz w:val="24"/>
              </w:rPr>
              <w:t>。</w:t>
            </w:r>
          </w:p>
          <w:p w:rsidR="00F0028F" w:rsidRDefault="00F0028F" w:rsidP="00F0028F">
            <w:pPr>
              <w:spacing w:line="360" w:lineRule="auto"/>
              <w:rPr>
                <w:rFonts w:ascii="宋体" w:hAnsi="宋体" w:cs="宋体"/>
                <w:sz w:val="24"/>
              </w:rPr>
            </w:pPr>
            <w:r>
              <w:rPr>
                <w:rFonts w:ascii="宋体" w:hAnsi="宋体" w:cs="宋体" w:hint="eastAsia"/>
                <w:sz w:val="24"/>
              </w:rPr>
              <w:lastRenderedPageBreak/>
              <w:t>（二）试验方法</w:t>
            </w:r>
          </w:p>
          <w:p w:rsidR="00F0028F" w:rsidRDefault="000C0542" w:rsidP="00143D31">
            <w:pPr>
              <w:spacing w:line="360" w:lineRule="auto"/>
              <w:ind w:firstLineChars="200" w:firstLine="480"/>
              <w:rPr>
                <w:rFonts w:ascii="宋体" w:hAnsi="宋体"/>
                <w:sz w:val="24"/>
              </w:rPr>
            </w:pPr>
            <w:r w:rsidRPr="00ED51F9">
              <w:rPr>
                <w:rFonts w:ascii="宋体" w:hAnsi="宋体" w:hint="eastAsia"/>
                <w:sz w:val="24"/>
              </w:rPr>
              <w:t>该临床试验通过</w:t>
            </w:r>
            <w:r w:rsidR="00ED51F9" w:rsidRPr="00ED51F9">
              <w:rPr>
                <w:rFonts w:ascii="宋体" w:hAnsi="宋体" w:hint="eastAsia"/>
                <w:sz w:val="24"/>
              </w:rPr>
              <w:t>采用自身配对、阳性对照、非劣效设计，试验组使用</w:t>
            </w:r>
            <w:r w:rsidR="00ED51F9" w:rsidRPr="00ED51F9">
              <w:rPr>
                <w:rFonts w:ascii="宋体" w:hAnsi="宋体"/>
                <w:sz w:val="24"/>
              </w:rPr>
              <w:t>北京图湃影像科技有限公司生产的眼科光学相干断层扫描仪</w:t>
            </w:r>
            <w:r w:rsidR="00ED51F9" w:rsidRPr="00ED51F9">
              <w:rPr>
                <w:rFonts w:ascii="宋体" w:hAnsi="宋体" w:hint="eastAsia"/>
                <w:sz w:val="24"/>
              </w:rPr>
              <w:t>，对照组使用已上市的同类产品。对符合本次研究条件的受试者先后使用试验组或对照组产品进行成像检查。以断层成像图像质量/血流成像图像质量作为主要评价指标，以测量准确度、测量重复性、测量一致性作为次要评价指标，评价</w:t>
            </w:r>
            <w:r w:rsidR="00ED51F9" w:rsidRPr="00ED51F9">
              <w:rPr>
                <w:rFonts w:ascii="宋体" w:hAnsi="宋体"/>
                <w:sz w:val="24"/>
              </w:rPr>
              <w:t>眼科光学相干断层扫描仪</w:t>
            </w:r>
            <w:r w:rsidR="00ED51F9" w:rsidRPr="00ED51F9">
              <w:rPr>
                <w:rFonts w:ascii="宋体" w:hAnsi="宋体" w:hint="eastAsia"/>
                <w:sz w:val="24"/>
              </w:rPr>
              <w:t>的有效性；以不良事件</w:t>
            </w:r>
            <w:r w:rsidR="00ED51F9" w:rsidRPr="00ED51F9">
              <w:rPr>
                <w:rFonts w:ascii="宋体" w:hAnsi="宋体"/>
                <w:sz w:val="24"/>
              </w:rPr>
              <w:t>/</w:t>
            </w:r>
            <w:r w:rsidR="00ED51F9" w:rsidRPr="00ED51F9">
              <w:rPr>
                <w:rFonts w:ascii="宋体" w:hAnsi="宋体" w:hint="eastAsia"/>
                <w:sz w:val="24"/>
              </w:rPr>
              <w:t>严重不良事件作为安全性评价指标，评价</w:t>
            </w:r>
            <w:r w:rsidR="00ED51F9" w:rsidRPr="00ED51F9">
              <w:rPr>
                <w:rFonts w:ascii="宋体" w:hAnsi="宋体"/>
                <w:sz w:val="24"/>
              </w:rPr>
              <w:t>眼科光学相干断层扫描仪</w:t>
            </w:r>
            <w:r w:rsidR="00ED51F9" w:rsidRPr="00ED51F9">
              <w:rPr>
                <w:rFonts w:ascii="宋体" w:hAnsi="宋体" w:hint="eastAsia"/>
                <w:sz w:val="24"/>
              </w:rPr>
              <w:t>的安全性。</w:t>
            </w:r>
          </w:p>
          <w:p w:rsidR="00F0028F" w:rsidRDefault="00F0028F" w:rsidP="00F0028F">
            <w:pPr>
              <w:spacing w:line="360" w:lineRule="auto"/>
              <w:rPr>
                <w:rFonts w:ascii="宋体" w:hAnsi="宋体" w:cs="宋体"/>
                <w:sz w:val="24"/>
              </w:rPr>
            </w:pPr>
            <w:r>
              <w:rPr>
                <w:rFonts w:ascii="宋体" w:hAnsi="宋体" w:cs="宋体" w:hint="eastAsia"/>
                <w:sz w:val="24"/>
              </w:rPr>
              <w:t>（三）</w:t>
            </w:r>
            <w:r w:rsidRPr="006B22E8">
              <w:rPr>
                <w:rFonts w:ascii="宋体" w:hAnsi="宋体" w:cs="宋体" w:hint="eastAsia"/>
                <w:sz w:val="24"/>
              </w:rPr>
              <w:t>试验结果</w:t>
            </w:r>
          </w:p>
          <w:p w:rsidR="00D64A3C" w:rsidRDefault="00D64A3C" w:rsidP="00143D31">
            <w:pPr>
              <w:spacing w:line="360" w:lineRule="auto"/>
              <w:ind w:firstLineChars="150" w:firstLine="360"/>
              <w:rPr>
                <w:rFonts w:ascii="宋体" w:hAnsi="宋体"/>
                <w:sz w:val="24"/>
              </w:rPr>
            </w:pPr>
            <w:r>
              <w:rPr>
                <w:rFonts w:ascii="宋体" w:hAnsi="宋体" w:hint="eastAsia"/>
                <w:sz w:val="24"/>
              </w:rPr>
              <w:t>试验结果表明试验机在临床中的有效性非劣于对照机，</w:t>
            </w:r>
            <w:r w:rsidR="00BF2BC8">
              <w:rPr>
                <w:rFonts w:ascii="宋体" w:hAnsi="宋体" w:hint="eastAsia"/>
                <w:sz w:val="24"/>
              </w:rPr>
              <w:t>两组产品安全性相似，差异无统计学意义</w:t>
            </w:r>
            <w:r w:rsidR="001311A1">
              <w:rPr>
                <w:rFonts w:ascii="宋体" w:hAnsi="宋体" w:hint="eastAsia"/>
                <w:sz w:val="24"/>
              </w:rPr>
              <w:t>,</w:t>
            </w:r>
            <w:r w:rsidR="0056472F">
              <w:rPr>
                <w:rFonts w:ascii="宋体" w:hAnsi="宋体" w:hint="eastAsia"/>
                <w:sz w:val="24"/>
              </w:rPr>
              <w:t>在临床</w:t>
            </w:r>
            <w:r w:rsidR="001311A1">
              <w:rPr>
                <w:rFonts w:ascii="宋体" w:hAnsi="宋体" w:hint="eastAsia"/>
                <w:sz w:val="24"/>
              </w:rPr>
              <w:t>诊断的</w:t>
            </w:r>
            <w:r w:rsidR="0056472F">
              <w:rPr>
                <w:rFonts w:ascii="宋体" w:hAnsi="宋体" w:hint="eastAsia"/>
                <w:sz w:val="24"/>
              </w:rPr>
              <w:t>可接受范围内，符合要求。</w:t>
            </w:r>
          </w:p>
          <w:p w:rsidR="00E52429" w:rsidRDefault="00E52429" w:rsidP="00E52429">
            <w:pPr>
              <w:spacing w:line="360" w:lineRule="auto"/>
              <w:ind w:firstLineChars="50" w:firstLine="120"/>
              <w:rPr>
                <w:rFonts w:ascii="宋体" w:hAnsi="宋体"/>
                <w:sz w:val="24"/>
              </w:rPr>
            </w:pPr>
            <w:r>
              <w:rPr>
                <w:rFonts w:ascii="宋体" w:hAnsi="宋体" w:hint="eastAsia"/>
                <w:sz w:val="24"/>
              </w:rPr>
              <w:t>(四)禁忌症</w:t>
            </w:r>
          </w:p>
          <w:p w:rsidR="002C6573" w:rsidRPr="00996E61" w:rsidRDefault="00C10890" w:rsidP="00122411">
            <w:pPr>
              <w:spacing w:line="360" w:lineRule="auto"/>
              <w:ind w:firstLineChars="150" w:firstLine="360"/>
              <w:rPr>
                <w:rFonts w:ascii="宋体" w:hAnsi="宋体"/>
                <w:sz w:val="24"/>
              </w:rPr>
            </w:pPr>
            <w:r>
              <w:rPr>
                <w:rFonts w:ascii="宋体" w:hAnsi="宋体" w:hint="eastAsia"/>
                <w:sz w:val="24"/>
              </w:rPr>
              <w:t>该</w:t>
            </w:r>
            <w:r w:rsidR="00996E61" w:rsidRPr="00996E61">
              <w:rPr>
                <w:rFonts w:ascii="宋体" w:hAnsi="宋体" w:hint="eastAsia"/>
                <w:sz w:val="24"/>
              </w:rPr>
              <w:t>产品的禁忌证为48小时内接受过光动力治疗的患者。对于光辐射危害的高危人群、无晶状体眼、婴儿、或因患有眼底疾病对光线不敏感的患者进行OCT检查时，应格外谨慎。</w:t>
            </w:r>
            <w:bookmarkStart w:id="10" w:name="_GoBack"/>
            <w:bookmarkEnd w:id="10"/>
          </w:p>
          <w:p w:rsidR="000C0542" w:rsidRPr="006B22E8" w:rsidRDefault="000C0542" w:rsidP="000C0542">
            <w:pPr>
              <w:spacing w:line="360" w:lineRule="auto"/>
              <w:rPr>
                <w:rFonts w:ascii="宋体" w:hAnsi="宋体" w:cs="宋体"/>
                <w:sz w:val="24"/>
              </w:rPr>
            </w:pPr>
            <w:r w:rsidRPr="006B22E8">
              <w:rPr>
                <w:rFonts w:ascii="宋体" w:hAnsi="宋体" w:cs="宋体" w:hint="eastAsia"/>
                <w:sz w:val="24"/>
              </w:rPr>
              <w:t>三、关于风险管理</w:t>
            </w:r>
          </w:p>
          <w:p w:rsidR="00442EB2" w:rsidRPr="00640DB8" w:rsidRDefault="000C0542" w:rsidP="00640DB8">
            <w:pPr>
              <w:spacing w:line="360" w:lineRule="auto"/>
              <w:ind w:firstLineChars="200" w:firstLine="480"/>
              <w:rPr>
                <w:rFonts w:ascii="宋体" w:hAnsi="宋体" w:cs="宋体"/>
                <w:sz w:val="24"/>
              </w:rPr>
            </w:pPr>
            <w:r w:rsidRPr="006B22E8">
              <w:rPr>
                <w:rFonts w:ascii="宋体" w:hAnsi="宋体" w:cs="宋体" w:hint="eastAsia"/>
                <w:sz w:val="24"/>
              </w:rPr>
              <w:t>申请人根据YY/T0316-2016《医疗器械风险管理对医疗器械的应用》及其内部质量管理体系规定执行风险管理相关活动，对目前已知及可预测风险采取了风险控制措施，经综合评价，认为该产品在正常使用条件下，可达到预期性能；与预期受益相比较，综合剩余风险可接受。</w:t>
            </w:r>
          </w:p>
        </w:tc>
      </w:tr>
    </w:tbl>
    <w:p w:rsidR="00EB2B6C" w:rsidRPr="001311D0" w:rsidRDefault="00EB2B6C" w:rsidP="008E63D5">
      <w:pPr>
        <w:jc w:val="center"/>
        <w:rPr>
          <w:rFonts w:eastAsia="方正小标宋简体"/>
          <w:spacing w:val="30"/>
          <w:sz w:val="36"/>
        </w:rPr>
      </w:pPr>
    </w:p>
    <w:sectPr w:rsidR="00EB2B6C" w:rsidRPr="001311D0" w:rsidSect="001311D0">
      <w:headerReference w:type="default" r:id="rId7"/>
      <w:pgSz w:w="11906" w:h="16838" w:code="9"/>
      <w:pgMar w:top="1091"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F9D" w:rsidRDefault="008E5F9D">
      <w:r>
        <w:separator/>
      </w:r>
    </w:p>
  </w:endnote>
  <w:endnote w:type="continuationSeparator" w:id="1">
    <w:p w:rsidR="008E5F9D" w:rsidRDefault="008E5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Songti SC">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F9D" w:rsidRDefault="008E5F9D">
      <w:r>
        <w:separator/>
      </w:r>
    </w:p>
  </w:footnote>
  <w:footnote w:type="continuationSeparator" w:id="1">
    <w:p w:rsidR="008E5F9D" w:rsidRDefault="008E5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70" w:rsidRPr="007A5ED7" w:rsidRDefault="00BA0570" w:rsidP="00B33F59">
    <w:pPr>
      <w:wordWrap w:val="0"/>
      <w:jc w:val="right"/>
      <w:rPr>
        <w:rFonts w:ascii="宋体" w:hAnsi="宋体" w:cs="宋体"/>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1E5A"/>
    <w:multiLevelType w:val="hybridMultilevel"/>
    <w:tmpl w:val="F04AF8E0"/>
    <w:lvl w:ilvl="0" w:tplc="5A24AF54">
      <w:start w:val="1"/>
      <w:numFmt w:val="decimal"/>
      <w:lvlText w:val="%1、"/>
      <w:lvlJc w:val="left"/>
      <w:pPr>
        <w:ind w:left="1550" w:hanging="990"/>
      </w:pPr>
      <w:rPr>
        <w:rFonts w:hint="default"/>
      </w:rPr>
    </w:lvl>
    <w:lvl w:ilvl="1" w:tplc="DD0257DC">
      <w:start w:val="1"/>
      <w:numFmt w:val="decimal"/>
      <w:lvlText w:val="%2)"/>
      <w:lvlJc w:val="left"/>
      <w:pPr>
        <w:ind w:left="1980" w:hanging="420"/>
      </w:pPr>
      <w:rPr>
        <w:rFonts w:hint="eastAsia"/>
      </w:r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9CE2742"/>
    <w:multiLevelType w:val="hybridMultilevel"/>
    <w:tmpl w:val="F04AF8E0"/>
    <w:lvl w:ilvl="0" w:tplc="5A24AF54">
      <w:start w:val="1"/>
      <w:numFmt w:val="decimal"/>
      <w:lvlText w:val="%1、"/>
      <w:lvlJc w:val="left"/>
      <w:pPr>
        <w:ind w:left="1550" w:hanging="990"/>
      </w:pPr>
      <w:rPr>
        <w:rFonts w:hint="default"/>
      </w:rPr>
    </w:lvl>
    <w:lvl w:ilvl="1" w:tplc="DD0257DC">
      <w:start w:val="1"/>
      <w:numFmt w:val="decimal"/>
      <w:lvlText w:val="%2)"/>
      <w:lvlJc w:val="left"/>
      <w:pPr>
        <w:ind w:left="1980" w:hanging="420"/>
      </w:pPr>
      <w:rPr>
        <w:rFonts w:hint="eastAsia"/>
      </w:r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569"/>
    <w:rsid w:val="0000512C"/>
    <w:rsid w:val="00011E2E"/>
    <w:rsid w:val="00033D12"/>
    <w:rsid w:val="00071763"/>
    <w:rsid w:val="00080BF8"/>
    <w:rsid w:val="000C0542"/>
    <w:rsid w:val="000E3987"/>
    <w:rsid w:val="000F0BAC"/>
    <w:rsid w:val="00122411"/>
    <w:rsid w:val="00124A5D"/>
    <w:rsid w:val="001311A1"/>
    <w:rsid w:val="001311D0"/>
    <w:rsid w:val="00143D31"/>
    <w:rsid w:val="00151307"/>
    <w:rsid w:val="00154477"/>
    <w:rsid w:val="00157088"/>
    <w:rsid w:val="00163F66"/>
    <w:rsid w:val="00166306"/>
    <w:rsid w:val="00170A13"/>
    <w:rsid w:val="00175D6E"/>
    <w:rsid w:val="001B2E76"/>
    <w:rsid w:val="001D459B"/>
    <w:rsid w:val="001E2F52"/>
    <w:rsid w:val="00203D6D"/>
    <w:rsid w:val="00213CA4"/>
    <w:rsid w:val="002215E8"/>
    <w:rsid w:val="00237D5C"/>
    <w:rsid w:val="00241A67"/>
    <w:rsid w:val="002611A6"/>
    <w:rsid w:val="002A7C15"/>
    <w:rsid w:val="002A7CB6"/>
    <w:rsid w:val="002B3B43"/>
    <w:rsid w:val="002C2734"/>
    <w:rsid w:val="002C6573"/>
    <w:rsid w:val="00303D71"/>
    <w:rsid w:val="0030578E"/>
    <w:rsid w:val="00307430"/>
    <w:rsid w:val="003124CE"/>
    <w:rsid w:val="0032301E"/>
    <w:rsid w:val="00371C69"/>
    <w:rsid w:val="00372694"/>
    <w:rsid w:val="003821B9"/>
    <w:rsid w:val="003957B1"/>
    <w:rsid w:val="003A0A55"/>
    <w:rsid w:val="003A72B4"/>
    <w:rsid w:val="003F01DB"/>
    <w:rsid w:val="003F688F"/>
    <w:rsid w:val="004002F6"/>
    <w:rsid w:val="00416A45"/>
    <w:rsid w:val="004170A1"/>
    <w:rsid w:val="00417C17"/>
    <w:rsid w:val="004329F4"/>
    <w:rsid w:val="00442EB2"/>
    <w:rsid w:val="0045128A"/>
    <w:rsid w:val="00470298"/>
    <w:rsid w:val="00477E35"/>
    <w:rsid w:val="004814A6"/>
    <w:rsid w:val="004A7167"/>
    <w:rsid w:val="004B60C1"/>
    <w:rsid w:val="004C01B5"/>
    <w:rsid w:val="004D58BF"/>
    <w:rsid w:val="00506ABD"/>
    <w:rsid w:val="0050747A"/>
    <w:rsid w:val="0050769E"/>
    <w:rsid w:val="0052206E"/>
    <w:rsid w:val="005222EB"/>
    <w:rsid w:val="00527D3D"/>
    <w:rsid w:val="005429E7"/>
    <w:rsid w:val="00543B22"/>
    <w:rsid w:val="00551FCD"/>
    <w:rsid w:val="00552C1F"/>
    <w:rsid w:val="0056472F"/>
    <w:rsid w:val="0056732B"/>
    <w:rsid w:val="00576F8A"/>
    <w:rsid w:val="005955CC"/>
    <w:rsid w:val="005A5A0A"/>
    <w:rsid w:val="005B4940"/>
    <w:rsid w:val="005C0406"/>
    <w:rsid w:val="005E3BD2"/>
    <w:rsid w:val="005F06DA"/>
    <w:rsid w:val="00604F09"/>
    <w:rsid w:val="00617DE6"/>
    <w:rsid w:val="0062108C"/>
    <w:rsid w:val="006306F2"/>
    <w:rsid w:val="00631317"/>
    <w:rsid w:val="00634152"/>
    <w:rsid w:val="00635C5D"/>
    <w:rsid w:val="00640DB8"/>
    <w:rsid w:val="00643271"/>
    <w:rsid w:val="006456C8"/>
    <w:rsid w:val="0065624B"/>
    <w:rsid w:val="00665290"/>
    <w:rsid w:val="00681809"/>
    <w:rsid w:val="00694C00"/>
    <w:rsid w:val="0069595F"/>
    <w:rsid w:val="0069632D"/>
    <w:rsid w:val="0069782D"/>
    <w:rsid w:val="006A0F4F"/>
    <w:rsid w:val="006B1B48"/>
    <w:rsid w:val="006B667F"/>
    <w:rsid w:val="006D445E"/>
    <w:rsid w:val="00701B8B"/>
    <w:rsid w:val="00704613"/>
    <w:rsid w:val="00706484"/>
    <w:rsid w:val="00715DF4"/>
    <w:rsid w:val="00731936"/>
    <w:rsid w:val="00737B57"/>
    <w:rsid w:val="00743A3C"/>
    <w:rsid w:val="0075137B"/>
    <w:rsid w:val="0075304F"/>
    <w:rsid w:val="00756012"/>
    <w:rsid w:val="007646A1"/>
    <w:rsid w:val="0076685E"/>
    <w:rsid w:val="007B2F63"/>
    <w:rsid w:val="007B5A39"/>
    <w:rsid w:val="007F6F50"/>
    <w:rsid w:val="00801332"/>
    <w:rsid w:val="00812943"/>
    <w:rsid w:val="008130BE"/>
    <w:rsid w:val="00833585"/>
    <w:rsid w:val="008374B8"/>
    <w:rsid w:val="008507CC"/>
    <w:rsid w:val="00850D69"/>
    <w:rsid w:val="008527E7"/>
    <w:rsid w:val="00876FC4"/>
    <w:rsid w:val="008948FE"/>
    <w:rsid w:val="008A04C4"/>
    <w:rsid w:val="008B074A"/>
    <w:rsid w:val="008C3488"/>
    <w:rsid w:val="008C6BF4"/>
    <w:rsid w:val="008D1DCB"/>
    <w:rsid w:val="008E5F9D"/>
    <w:rsid w:val="008E63D5"/>
    <w:rsid w:val="008E6569"/>
    <w:rsid w:val="00901B5E"/>
    <w:rsid w:val="009058E4"/>
    <w:rsid w:val="0090598E"/>
    <w:rsid w:val="00911D35"/>
    <w:rsid w:val="00936AF6"/>
    <w:rsid w:val="00947536"/>
    <w:rsid w:val="00963DC8"/>
    <w:rsid w:val="009745F8"/>
    <w:rsid w:val="00976FD3"/>
    <w:rsid w:val="009935B8"/>
    <w:rsid w:val="00996E61"/>
    <w:rsid w:val="009A0296"/>
    <w:rsid w:val="009C42A2"/>
    <w:rsid w:val="00A14B36"/>
    <w:rsid w:val="00A16F00"/>
    <w:rsid w:val="00A304FD"/>
    <w:rsid w:val="00A30E49"/>
    <w:rsid w:val="00A31B70"/>
    <w:rsid w:val="00A3224B"/>
    <w:rsid w:val="00A34B09"/>
    <w:rsid w:val="00A40193"/>
    <w:rsid w:val="00A40575"/>
    <w:rsid w:val="00A52D66"/>
    <w:rsid w:val="00A937DF"/>
    <w:rsid w:val="00AA6340"/>
    <w:rsid w:val="00AE7530"/>
    <w:rsid w:val="00AF2AE9"/>
    <w:rsid w:val="00AF38F8"/>
    <w:rsid w:val="00B01C4B"/>
    <w:rsid w:val="00B123E0"/>
    <w:rsid w:val="00B16DC8"/>
    <w:rsid w:val="00B30ADD"/>
    <w:rsid w:val="00B33F59"/>
    <w:rsid w:val="00B450DA"/>
    <w:rsid w:val="00B504AA"/>
    <w:rsid w:val="00B54964"/>
    <w:rsid w:val="00B559E9"/>
    <w:rsid w:val="00B56AC2"/>
    <w:rsid w:val="00B66538"/>
    <w:rsid w:val="00B92A92"/>
    <w:rsid w:val="00BA0570"/>
    <w:rsid w:val="00BB3AC4"/>
    <w:rsid w:val="00BD5424"/>
    <w:rsid w:val="00BD7B5C"/>
    <w:rsid w:val="00BE65DE"/>
    <w:rsid w:val="00BE6ECD"/>
    <w:rsid w:val="00BF2BC8"/>
    <w:rsid w:val="00BF47C4"/>
    <w:rsid w:val="00C06EE3"/>
    <w:rsid w:val="00C10890"/>
    <w:rsid w:val="00C24749"/>
    <w:rsid w:val="00C24CDE"/>
    <w:rsid w:val="00C5141A"/>
    <w:rsid w:val="00C76A47"/>
    <w:rsid w:val="00C8639E"/>
    <w:rsid w:val="00CA4191"/>
    <w:rsid w:val="00CB0972"/>
    <w:rsid w:val="00CD16DE"/>
    <w:rsid w:val="00CD28AD"/>
    <w:rsid w:val="00CE19B4"/>
    <w:rsid w:val="00CF4478"/>
    <w:rsid w:val="00D135F5"/>
    <w:rsid w:val="00D24F11"/>
    <w:rsid w:val="00D61827"/>
    <w:rsid w:val="00D64A3C"/>
    <w:rsid w:val="00D75255"/>
    <w:rsid w:val="00D77F8A"/>
    <w:rsid w:val="00DA18F2"/>
    <w:rsid w:val="00DC3907"/>
    <w:rsid w:val="00DD2186"/>
    <w:rsid w:val="00DE2921"/>
    <w:rsid w:val="00DE7E58"/>
    <w:rsid w:val="00DF68EC"/>
    <w:rsid w:val="00E007F3"/>
    <w:rsid w:val="00E00D5A"/>
    <w:rsid w:val="00E15BE3"/>
    <w:rsid w:val="00E16395"/>
    <w:rsid w:val="00E20BD8"/>
    <w:rsid w:val="00E279DB"/>
    <w:rsid w:val="00E35ADE"/>
    <w:rsid w:val="00E35EEF"/>
    <w:rsid w:val="00E44438"/>
    <w:rsid w:val="00E44AB3"/>
    <w:rsid w:val="00E50F0F"/>
    <w:rsid w:val="00E52429"/>
    <w:rsid w:val="00E632DD"/>
    <w:rsid w:val="00E63CBD"/>
    <w:rsid w:val="00E97B7F"/>
    <w:rsid w:val="00EA2FC1"/>
    <w:rsid w:val="00EA7127"/>
    <w:rsid w:val="00EB2B6C"/>
    <w:rsid w:val="00EC65C6"/>
    <w:rsid w:val="00ED51F9"/>
    <w:rsid w:val="00F0028F"/>
    <w:rsid w:val="00F01294"/>
    <w:rsid w:val="00F12DE5"/>
    <w:rsid w:val="00F20347"/>
    <w:rsid w:val="00F32647"/>
    <w:rsid w:val="00F336D5"/>
    <w:rsid w:val="00F36265"/>
    <w:rsid w:val="00F50E9A"/>
    <w:rsid w:val="00F56ED3"/>
    <w:rsid w:val="00F6508E"/>
    <w:rsid w:val="00F7139E"/>
    <w:rsid w:val="00F7415A"/>
    <w:rsid w:val="00F84A31"/>
    <w:rsid w:val="00F870AB"/>
    <w:rsid w:val="00F96E89"/>
    <w:rsid w:val="00FA6BC2"/>
    <w:rsid w:val="00FB27E6"/>
    <w:rsid w:val="00FB678C"/>
    <w:rsid w:val="00FC06E8"/>
    <w:rsid w:val="00FC0C5D"/>
    <w:rsid w:val="00FC1ABD"/>
    <w:rsid w:val="00FC3DA5"/>
    <w:rsid w:val="00FC699E"/>
    <w:rsid w:val="00FD38BF"/>
    <w:rsid w:val="00FD589A"/>
    <w:rsid w:val="00FE65C5"/>
    <w:rsid w:val="00FE6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66"/>
    <w:pPr>
      <w:widowControl w:val="0"/>
      <w:jc w:val="both"/>
    </w:pPr>
    <w:rPr>
      <w:kern w:val="2"/>
      <w:sz w:val="21"/>
      <w:szCs w:val="24"/>
    </w:rPr>
  </w:style>
  <w:style w:type="paragraph" w:styleId="1">
    <w:name w:val="heading 1"/>
    <w:basedOn w:val="a"/>
    <w:next w:val="a"/>
    <w:link w:val="1Char"/>
    <w:uiPriority w:val="9"/>
    <w:qFormat/>
    <w:rsid w:val="008C6BF4"/>
    <w:pPr>
      <w:keepNext/>
      <w:keepLines/>
      <w:spacing w:before="100" w:after="90" w:line="360" w:lineRule="auto"/>
      <w:ind w:firstLineChars="200" w:firstLine="200"/>
      <w:outlineLvl w:val="0"/>
    </w:pPr>
    <w:rPr>
      <w:rFonts w:ascii="宋体" w:hAnsi="宋体"/>
      <w:b/>
      <w:bCs/>
      <w:kern w:val="44"/>
      <w:sz w:val="32"/>
      <w:szCs w:val="44"/>
    </w:rPr>
  </w:style>
  <w:style w:type="paragraph" w:styleId="2">
    <w:name w:val="heading 2"/>
    <w:basedOn w:val="a"/>
    <w:next w:val="a"/>
    <w:link w:val="2Char"/>
    <w:uiPriority w:val="9"/>
    <w:unhideWhenUsed/>
    <w:qFormat/>
    <w:rsid w:val="008C6BF4"/>
    <w:pPr>
      <w:keepNext/>
      <w:keepLines/>
      <w:spacing w:line="360" w:lineRule="auto"/>
      <w:ind w:firstLineChars="200" w:firstLine="200"/>
      <w:outlineLvl w:val="1"/>
    </w:pPr>
    <w:rPr>
      <w:rFonts w:ascii="宋体" w:hAnsi="宋体"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2D66"/>
    <w:pPr>
      <w:pBdr>
        <w:bottom w:val="single" w:sz="6" w:space="1" w:color="auto"/>
      </w:pBdr>
      <w:tabs>
        <w:tab w:val="center" w:pos="4153"/>
        <w:tab w:val="right" w:pos="8306"/>
      </w:tabs>
      <w:snapToGrid w:val="0"/>
      <w:jc w:val="center"/>
    </w:pPr>
    <w:rPr>
      <w:sz w:val="18"/>
      <w:szCs w:val="18"/>
    </w:rPr>
  </w:style>
  <w:style w:type="paragraph" w:styleId="a4">
    <w:name w:val="footer"/>
    <w:basedOn w:val="a"/>
    <w:rsid w:val="00A52D66"/>
    <w:pPr>
      <w:tabs>
        <w:tab w:val="center" w:pos="4153"/>
        <w:tab w:val="right" w:pos="8306"/>
      </w:tabs>
      <w:snapToGrid w:val="0"/>
      <w:jc w:val="left"/>
    </w:pPr>
    <w:rPr>
      <w:sz w:val="18"/>
      <w:szCs w:val="18"/>
    </w:rPr>
  </w:style>
  <w:style w:type="character" w:styleId="a5">
    <w:name w:val="annotation reference"/>
    <w:basedOn w:val="a0"/>
    <w:rsid w:val="0032301E"/>
    <w:rPr>
      <w:sz w:val="21"/>
      <w:szCs w:val="21"/>
    </w:rPr>
  </w:style>
  <w:style w:type="paragraph" w:styleId="a6">
    <w:name w:val="annotation text"/>
    <w:basedOn w:val="a"/>
    <w:link w:val="Char"/>
    <w:rsid w:val="0032301E"/>
    <w:pPr>
      <w:jc w:val="left"/>
    </w:pPr>
  </w:style>
  <w:style w:type="character" w:customStyle="1" w:styleId="Char">
    <w:name w:val="批注文字 Char"/>
    <w:basedOn w:val="a0"/>
    <w:link w:val="a6"/>
    <w:rsid w:val="0032301E"/>
    <w:rPr>
      <w:kern w:val="2"/>
      <w:sz w:val="21"/>
      <w:szCs w:val="24"/>
    </w:rPr>
  </w:style>
  <w:style w:type="paragraph" w:styleId="a7">
    <w:name w:val="annotation subject"/>
    <w:basedOn w:val="a6"/>
    <w:next w:val="a6"/>
    <w:link w:val="Char0"/>
    <w:rsid w:val="0032301E"/>
    <w:rPr>
      <w:b/>
      <w:bCs/>
    </w:rPr>
  </w:style>
  <w:style w:type="character" w:customStyle="1" w:styleId="Char0">
    <w:name w:val="批注主题 Char"/>
    <w:basedOn w:val="Char"/>
    <w:link w:val="a7"/>
    <w:rsid w:val="0032301E"/>
    <w:rPr>
      <w:b/>
      <w:bCs/>
      <w:kern w:val="2"/>
      <w:sz w:val="21"/>
      <w:szCs w:val="24"/>
    </w:rPr>
  </w:style>
  <w:style w:type="paragraph" w:styleId="a8">
    <w:name w:val="Balloon Text"/>
    <w:basedOn w:val="a"/>
    <w:link w:val="Char1"/>
    <w:rsid w:val="0032301E"/>
    <w:rPr>
      <w:sz w:val="18"/>
      <w:szCs w:val="18"/>
    </w:rPr>
  </w:style>
  <w:style w:type="character" w:customStyle="1" w:styleId="Char1">
    <w:name w:val="批注框文本 Char"/>
    <w:basedOn w:val="a0"/>
    <w:link w:val="a8"/>
    <w:rsid w:val="0032301E"/>
    <w:rPr>
      <w:kern w:val="2"/>
      <w:sz w:val="18"/>
      <w:szCs w:val="18"/>
    </w:rPr>
  </w:style>
  <w:style w:type="character" w:customStyle="1" w:styleId="1Char">
    <w:name w:val="标题 1 Char"/>
    <w:basedOn w:val="a0"/>
    <w:link w:val="1"/>
    <w:uiPriority w:val="9"/>
    <w:qFormat/>
    <w:rsid w:val="008C6BF4"/>
    <w:rPr>
      <w:rFonts w:ascii="宋体" w:hAnsi="宋体"/>
      <w:b/>
      <w:bCs/>
      <w:kern w:val="44"/>
      <w:sz w:val="32"/>
      <w:szCs w:val="44"/>
    </w:rPr>
  </w:style>
  <w:style w:type="character" w:customStyle="1" w:styleId="2Char">
    <w:name w:val="标题 2 Char"/>
    <w:basedOn w:val="a0"/>
    <w:link w:val="2"/>
    <w:uiPriority w:val="9"/>
    <w:rsid w:val="008C6BF4"/>
    <w:rPr>
      <w:rFonts w:ascii="宋体" w:hAnsi="宋体" w:cstheme="majorBidi"/>
      <w:b/>
      <w:bCs/>
      <w:kern w:val="2"/>
      <w:sz w:val="30"/>
      <w:szCs w:val="32"/>
    </w:rPr>
  </w:style>
  <w:style w:type="paragraph" w:styleId="a9">
    <w:name w:val="Normal (Web)"/>
    <w:basedOn w:val="a"/>
    <w:uiPriority w:val="99"/>
    <w:semiHidden/>
    <w:unhideWhenUsed/>
    <w:rsid w:val="00B30ADD"/>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uiPriority w:val="99"/>
    <w:semiHidden/>
    <w:unhideWhenUsed/>
    <w:rsid w:val="00852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8527E7"/>
    <w:rPr>
      <w:rFonts w:ascii="宋体" w:hAnsi="宋体" w:cs="宋体"/>
      <w:sz w:val="24"/>
      <w:szCs w:val="24"/>
    </w:rPr>
  </w:style>
  <w:style w:type="paragraph" w:styleId="aa">
    <w:name w:val="List Paragraph"/>
    <w:basedOn w:val="a"/>
    <w:uiPriority w:val="34"/>
    <w:qFormat/>
    <w:rsid w:val="008527E7"/>
    <w:pPr>
      <w:widowControl/>
      <w:ind w:firstLineChars="200" w:firstLine="42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4303111">
      <w:bodyDiv w:val="1"/>
      <w:marLeft w:val="0"/>
      <w:marRight w:val="0"/>
      <w:marTop w:val="0"/>
      <w:marBottom w:val="0"/>
      <w:divBdr>
        <w:top w:val="none" w:sz="0" w:space="0" w:color="auto"/>
        <w:left w:val="none" w:sz="0" w:space="0" w:color="auto"/>
        <w:bottom w:val="none" w:sz="0" w:space="0" w:color="auto"/>
        <w:right w:val="none" w:sz="0" w:space="0" w:color="auto"/>
      </w:divBdr>
      <w:divsChild>
        <w:div w:id="975183310">
          <w:marLeft w:val="0"/>
          <w:marRight w:val="0"/>
          <w:marTop w:val="0"/>
          <w:marBottom w:val="0"/>
          <w:divBdr>
            <w:top w:val="none" w:sz="0" w:space="0" w:color="auto"/>
            <w:left w:val="none" w:sz="0" w:space="0" w:color="auto"/>
            <w:bottom w:val="none" w:sz="0" w:space="0" w:color="auto"/>
            <w:right w:val="none" w:sz="0" w:space="0" w:color="auto"/>
          </w:divBdr>
          <w:divsChild>
            <w:div w:id="1144157924">
              <w:marLeft w:val="0"/>
              <w:marRight w:val="0"/>
              <w:marTop w:val="0"/>
              <w:marBottom w:val="0"/>
              <w:divBdr>
                <w:top w:val="none" w:sz="0" w:space="0" w:color="auto"/>
                <w:left w:val="none" w:sz="0" w:space="0" w:color="auto"/>
                <w:bottom w:val="none" w:sz="0" w:space="0" w:color="auto"/>
                <w:right w:val="none" w:sz="0" w:space="0" w:color="auto"/>
              </w:divBdr>
              <w:divsChild>
                <w:div w:id="943000291">
                  <w:marLeft w:val="0"/>
                  <w:marRight w:val="0"/>
                  <w:marTop w:val="0"/>
                  <w:marBottom w:val="0"/>
                  <w:divBdr>
                    <w:top w:val="none" w:sz="0" w:space="0" w:color="auto"/>
                    <w:left w:val="none" w:sz="0" w:space="0" w:color="auto"/>
                    <w:bottom w:val="none" w:sz="0" w:space="0" w:color="auto"/>
                    <w:right w:val="none" w:sz="0" w:space="0" w:color="auto"/>
                  </w:divBdr>
                  <w:divsChild>
                    <w:div w:id="520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8999">
      <w:bodyDiv w:val="1"/>
      <w:marLeft w:val="0"/>
      <w:marRight w:val="0"/>
      <w:marTop w:val="0"/>
      <w:marBottom w:val="0"/>
      <w:divBdr>
        <w:top w:val="none" w:sz="0" w:space="0" w:color="auto"/>
        <w:left w:val="none" w:sz="0" w:space="0" w:color="auto"/>
        <w:bottom w:val="none" w:sz="0" w:space="0" w:color="auto"/>
        <w:right w:val="none" w:sz="0" w:space="0" w:color="auto"/>
      </w:divBdr>
      <w:divsChild>
        <w:div w:id="1788501863">
          <w:marLeft w:val="0"/>
          <w:marRight w:val="0"/>
          <w:marTop w:val="0"/>
          <w:marBottom w:val="0"/>
          <w:divBdr>
            <w:top w:val="none" w:sz="0" w:space="0" w:color="auto"/>
            <w:left w:val="none" w:sz="0" w:space="0" w:color="auto"/>
            <w:bottom w:val="none" w:sz="0" w:space="0" w:color="auto"/>
            <w:right w:val="none" w:sz="0" w:space="0" w:color="auto"/>
          </w:divBdr>
          <w:divsChild>
            <w:div w:id="797839287">
              <w:marLeft w:val="0"/>
              <w:marRight w:val="0"/>
              <w:marTop w:val="0"/>
              <w:marBottom w:val="0"/>
              <w:divBdr>
                <w:top w:val="none" w:sz="0" w:space="0" w:color="auto"/>
                <w:left w:val="none" w:sz="0" w:space="0" w:color="auto"/>
                <w:bottom w:val="none" w:sz="0" w:space="0" w:color="auto"/>
                <w:right w:val="none" w:sz="0" w:space="0" w:color="auto"/>
              </w:divBdr>
              <w:divsChild>
                <w:div w:id="2040620561">
                  <w:marLeft w:val="0"/>
                  <w:marRight w:val="0"/>
                  <w:marTop w:val="0"/>
                  <w:marBottom w:val="0"/>
                  <w:divBdr>
                    <w:top w:val="none" w:sz="0" w:space="0" w:color="auto"/>
                    <w:left w:val="none" w:sz="0" w:space="0" w:color="auto"/>
                    <w:bottom w:val="none" w:sz="0" w:space="0" w:color="auto"/>
                    <w:right w:val="none" w:sz="0" w:space="0" w:color="auto"/>
                  </w:divBdr>
                  <w:divsChild>
                    <w:div w:id="2082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6636">
      <w:bodyDiv w:val="1"/>
      <w:marLeft w:val="0"/>
      <w:marRight w:val="0"/>
      <w:marTop w:val="0"/>
      <w:marBottom w:val="0"/>
      <w:divBdr>
        <w:top w:val="none" w:sz="0" w:space="0" w:color="auto"/>
        <w:left w:val="none" w:sz="0" w:space="0" w:color="auto"/>
        <w:bottom w:val="none" w:sz="0" w:space="0" w:color="auto"/>
        <w:right w:val="none" w:sz="0" w:space="0" w:color="auto"/>
      </w:divBdr>
      <w:divsChild>
        <w:div w:id="1538733437">
          <w:marLeft w:val="0"/>
          <w:marRight w:val="0"/>
          <w:marTop w:val="0"/>
          <w:marBottom w:val="0"/>
          <w:divBdr>
            <w:top w:val="none" w:sz="0" w:space="0" w:color="auto"/>
            <w:left w:val="none" w:sz="0" w:space="0" w:color="auto"/>
            <w:bottom w:val="none" w:sz="0" w:space="0" w:color="auto"/>
            <w:right w:val="none" w:sz="0" w:space="0" w:color="auto"/>
          </w:divBdr>
          <w:divsChild>
            <w:div w:id="2042709439">
              <w:marLeft w:val="0"/>
              <w:marRight w:val="0"/>
              <w:marTop w:val="0"/>
              <w:marBottom w:val="0"/>
              <w:divBdr>
                <w:top w:val="none" w:sz="0" w:space="0" w:color="auto"/>
                <w:left w:val="none" w:sz="0" w:space="0" w:color="auto"/>
                <w:bottom w:val="none" w:sz="0" w:space="0" w:color="auto"/>
                <w:right w:val="none" w:sz="0" w:space="0" w:color="auto"/>
              </w:divBdr>
              <w:divsChild>
                <w:div w:id="12661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3232">
      <w:bodyDiv w:val="1"/>
      <w:marLeft w:val="0"/>
      <w:marRight w:val="0"/>
      <w:marTop w:val="0"/>
      <w:marBottom w:val="0"/>
      <w:divBdr>
        <w:top w:val="none" w:sz="0" w:space="0" w:color="auto"/>
        <w:left w:val="none" w:sz="0" w:space="0" w:color="auto"/>
        <w:bottom w:val="none" w:sz="0" w:space="0" w:color="auto"/>
        <w:right w:val="none" w:sz="0" w:space="0" w:color="auto"/>
      </w:divBdr>
    </w:div>
    <w:div w:id="921909192">
      <w:bodyDiv w:val="1"/>
      <w:marLeft w:val="0"/>
      <w:marRight w:val="0"/>
      <w:marTop w:val="0"/>
      <w:marBottom w:val="0"/>
      <w:divBdr>
        <w:top w:val="none" w:sz="0" w:space="0" w:color="auto"/>
        <w:left w:val="none" w:sz="0" w:space="0" w:color="auto"/>
        <w:bottom w:val="none" w:sz="0" w:space="0" w:color="auto"/>
        <w:right w:val="none" w:sz="0" w:space="0" w:color="auto"/>
      </w:divBdr>
      <w:divsChild>
        <w:div w:id="1353188937">
          <w:marLeft w:val="0"/>
          <w:marRight w:val="0"/>
          <w:marTop w:val="0"/>
          <w:marBottom w:val="0"/>
          <w:divBdr>
            <w:top w:val="none" w:sz="0" w:space="0" w:color="auto"/>
            <w:left w:val="none" w:sz="0" w:space="0" w:color="auto"/>
            <w:bottom w:val="none" w:sz="0" w:space="0" w:color="auto"/>
            <w:right w:val="none" w:sz="0" w:space="0" w:color="auto"/>
          </w:divBdr>
          <w:divsChild>
            <w:div w:id="1867064531">
              <w:marLeft w:val="0"/>
              <w:marRight w:val="0"/>
              <w:marTop w:val="0"/>
              <w:marBottom w:val="0"/>
              <w:divBdr>
                <w:top w:val="none" w:sz="0" w:space="0" w:color="auto"/>
                <w:left w:val="none" w:sz="0" w:space="0" w:color="auto"/>
                <w:bottom w:val="none" w:sz="0" w:space="0" w:color="auto"/>
                <w:right w:val="none" w:sz="0" w:space="0" w:color="auto"/>
              </w:divBdr>
              <w:divsChild>
                <w:div w:id="1535729226">
                  <w:marLeft w:val="0"/>
                  <w:marRight w:val="0"/>
                  <w:marTop w:val="0"/>
                  <w:marBottom w:val="0"/>
                  <w:divBdr>
                    <w:top w:val="none" w:sz="0" w:space="0" w:color="auto"/>
                    <w:left w:val="none" w:sz="0" w:space="0" w:color="auto"/>
                    <w:bottom w:val="none" w:sz="0" w:space="0" w:color="auto"/>
                    <w:right w:val="none" w:sz="0" w:space="0" w:color="auto"/>
                  </w:divBdr>
                  <w:divsChild>
                    <w:div w:id="8573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66588">
      <w:bodyDiv w:val="1"/>
      <w:marLeft w:val="0"/>
      <w:marRight w:val="0"/>
      <w:marTop w:val="0"/>
      <w:marBottom w:val="0"/>
      <w:divBdr>
        <w:top w:val="none" w:sz="0" w:space="0" w:color="auto"/>
        <w:left w:val="none" w:sz="0" w:space="0" w:color="auto"/>
        <w:bottom w:val="none" w:sz="0" w:space="0" w:color="auto"/>
        <w:right w:val="none" w:sz="0" w:space="0" w:color="auto"/>
      </w:divBdr>
    </w:div>
    <w:div w:id="1454448313">
      <w:bodyDiv w:val="1"/>
      <w:marLeft w:val="0"/>
      <w:marRight w:val="0"/>
      <w:marTop w:val="0"/>
      <w:marBottom w:val="0"/>
      <w:divBdr>
        <w:top w:val="none" w:sz="0" w:space="0" w:color="auto"/>
        <w:left w:val="none" w:sz="0" w:space="0" w:color="auto"/>
        <w:bottom w:val="none" w:sz="0" w:space="0" w:color="auto"/>
        <w:right w:val="none" w:sz="0" w:space="0" w:color="auto"/>
      </w:divBdr>
    </w:div>
    <w:div w:id="1931232176">
      <w:bodyDiv w:val="1"/>
      <w:marLeft w:val="0"/>
      <w:marRight w:val="0"/>
      <w:marTop w:val="0"/>
      <w:marBottom w:val="0"/>
      <w:divBdr>
        <w:top w:val="none" w:sz="0" w:space="0" w:color="auto"/>
        <w:left w:val="none" w:sz="0" w:space="0" w:color="auto"/>
        <w:bottom w:val="none" w:sz="0" w:space="0" w:color="auto"/>
        <w:right w:val="none" w:sz="0" w:space="0" w:color="auto"/>
      </w:divBdr>
      <w:divsChild>
        <w:div w:id="687564997">
          <w:marLeft w:val="0"/>
          <w:marRight w:val="0"/>
          <w:marTop w:val="0"/>
          <w:marBottom w:val="0"/>
          <w:divBdr>
            <w:top w:val="none" w:sz="0" w:space="0" w:color="auto"/>
            <w:left w:val="none" w:sz="0" w:space="0" w:color="auto"/>
            <w:bottom w:val="none" w:sz="0" w:space="0" w:color="auto"/>
            <w:right w:val="none" w:sz="0" w:space="0" w:color="auto"/>
          </w:divBdr>
          <w:divsChild>
            <w:div w:id="97333149">
              <w:marLeft w:val="0"/>
              <w:marRight w:val="0"/>
              <w:marTop w:val="0"/>
              <w:marBottom w:val="0"/>
              <w:divBdr>
                <w:top w:val="none" w:sz="0" w:space="0" w:color="auto"/>
                <w:left w:val="none" w:sz="0" w:space="0" w:color="auto"/>
                <w:bottom w:val="none" w:sz="0" w:space="0" w:color="auto"/>
                <w:right w:val="none" w:sz="0" w:space="0" w:color="auto"/>
              </w:divBdr>
              <w:divsChild>
                <w:div w:id="1952738355">
                  <w:marLeft w:val="0"/>
                  <w:marRight w:val="0"/>
                  <w:marTop w:val="0"/>
                  <w:marBottom w:val="0"/>
                  <w:divBdr>
                    <w:top w:val="none" w:sz="0" w:space="0" w:color="auto"/>
                    <w:left w:val="none" w:sz="0" w:space="0" w:color="auto"/>
                    <w:bottom w:val="none" w:sz="0" w:space="0" w:color="auto"/>
                    <w:right w:val="none" w:sz="0" w:space="0" w:color="auto"/>
                  </w:divBdr>
                  <w:divsChild>
                    <w:div w:id="20201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335</Words>
  <Characters>1911</Characters>
  <Application>Microsoft Office Word</Application>
  <DocSecurity>0</DocSecurity>
  <Lines>15</Lines>
  <Paragraphs>4</Paragraphs>
  <ScaleCrop>false</ScaleCrop>
  <Company>BJDA</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标准审查：</dc:title>
  <dc:creator>wangxin</dc:creator>
  <cp:lastModifiedBy>li</cp:lastModifiedBy>
  <cp:revision>32</cp:revision>
  <cp:lastPrinted>2010-01-11T04:31:00Z</cp:lastPrinted>
  <dcterms:created xsi:type="dcterms:W3CDTF">2021-01-14T05:42:00Z</dcterms:created>
  <dcterms:modified xsi:type="dcterms:W3CDTF">2021-01-27T01:50:00Z</dcterms:modified>
</cp:coreProperties>
</file>