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宋体" w:eastAsia="方正小标宋简体" w:cs="Times New Roman"/>
          <w:bCs/>
          <w:color w:val="000000" w:themeColor="text1"/>
          <w:sz w:val="44"/>
          <w:szCs w:val="44"/>
        </w:rPr>
      </w:pPr>
      <w:r>
        <w:rPr>
          <w:rFonts w:hint="eastAsia" w:ascii="方正小标宋简体" w:hAnsi="宋体" w:eastAsia="方正小标宋简体" w:cs="Times New Roman"/>
          <w:bCs/>
          <w:color w:val="000000" w:themeColor="text1"/>
          <w:sz w:val="44"/>
          <w:szCs w:val="44"/>
        </w:rPr>
        <w:t>导丝产品技术审评规范</w:t>
      </w:r>
    </w:p>
    <w:p>
      <w:pPr>
        <w:spacing w:line="360" w:lineRule="auto"/>
        <w:jc w:val="center"/>
        <w:rPr>
          <w:rFonts w:ascii="仿宋_GB2312" w:hAnsi="宋体" w:eastAsia="仿宋_GB2312" w:cs="Times New Roman"/>
          <w:bCs/>
          <w:color w:val="000000" w:themeColor="text1"/>
          <w:sz w:val="44"/>
          <w:szCs w:val="44"/>
        </w:rPr>
      </w:pPr>
    </w:p>
    <w:p>
      <w:pPr>
        <w:spacing w:line="560" w:lineRule="exact"/>
        <w:ind w:firstLine="640" w:firstLineChars="200"/>
        <w:rPr>
          <w:rFonts w:ascii="仿宋_GB2312" w:hAnsi="Times New Roman" w:eastAsia="仿宋_GB2312" w:cs="Times New Roman"/>
          <w:color w:val="000000" w:themeColor="text1"/>
          <w:sz w:val="32"/>
          <w:szCs w:val="20"/>
        </w:rPr>
      </w:pPr>
      <w:r>
        <w:rPr>
          <w:rFonts w:hint="eastAsia" w:ascii="仿宋_GB2312" w:hAnsi="Times New Roman" w:eastAsia="仿宋_GB2312" w:cs="Times New Roman"/>
          <w:color w:val="000000" w:themeColor="text1"/>
          <w:sz w:val="32"/>
          <w:szCs w:val="20"/>
        </w:rPr>
        <w:t>本审评规范旨在指导和规范导丝产品的技术审评工作，帮助审评人员理解和掌握该类产品原理/机理、结构、性能、预期用途等内容，把握技术审评工作基本要求和尺度，对产品安全性、有效性作出系统评价。</w:t>
      </w:r>
    </w:p>
    <w:p>
      <w:pPr>
        <w:spacing w:line="560" w:lineRule="exact"/>
        <w:ind w:firstLine="640" w:firstLineChars="200"/>
        <w:rPr>
          <w:rFonts w:ascii="仿宋_GB2312" w:hAnsi="Times New Roman" w:eastAsia="仿宋_GB2312" w:cs="Times New Roman"/>
          <w:color w:val="000000" w:themeColor="text1"/>
          <w:sz w:val="32"/>
          <w:szCs w:val="20"/>
        </w:rPr>
      </w:pPr>
      <w:r>
        <w:rPr>
          <w:rFonts w:hint="eastAsia" w:ascii="仿宋_GB2312" w:hAnsi="Times New Roman" w:eastAsia="仿宋_GB2312" w:cs="Times New Roman"/>
          <w:color w:val="000000" w:themeColor="text1"/>
          <w:sz w:val="32"/>
          <w:szCs w:val="20"/>
        </w:rPr>
        <w:t>本审评规范所确定的核心内容是在目前的科技认识水平和现有产品技术基础上形成的。因此，审评人员应注意其适宜性，密切关注适用标准及相关技术的最新进展，考虑产品的更新和变化。</w:t>
      </w:r>
    </w:p>
    <w:p>
      <w:pPr>
        <w:spacing w:line="560" w:lineRule="exact"/>
        <w:ind w:firstLine="640" w:firstLineChars="200"/>
        <w:rPr>
          <w:rFonts w:ascii="仿宋_GB2312" w:hAnsi="Times New Roman" w:eastAsia="仿宋_GB2312" w:cs="Times New Roman"/>
          <w:color w:val="000000" w:themeColor="text1"/>
          <w:sz w:val="32"/>
          <w:szCs w:val="20"/>
        </w:rPr>
      </w:pPr>
      <w:r>
        <w:rPr>
          <w:rFonts w:hint="eastAsia" w:ascii="仿宋_GB2312" w:hAnsi="Times New Roman" w:eastAsia="仿宋_GB2312" w:cs="Times New Roman"/>
          <w:color w:val="000000" w:themeColor="text1"/>
          <w:sz w:val="32"/>
          <w:szCs w:val="20"/>
        </w:rPr>
        <w:t>本审评规范不作为法规强制执行，不包括行政审批要求。但是，审评人员需密切关注相关法规的变化，以确认申报产品是否符合法规要求。</w:t>
      </w:r>
    </w:p>
    <w:p>
      <w:pPr>
        <w:spacing w:line="520" w:lineRule="exact"/>
        <w:ind w:right="-67" w:rightChars="-32" w:firstLine="600" w:firstLineChars="200"/>
        <w:rPr>
          <w:rFonts w:ascii="黑体" w:hAnsi="黑体" w:eastAsia="黑体"/>
          <w:color w:val="000000" w:themeColor="text1"/>
          <w:sz w:val="30"/>
          <w:szCs w:val="30"/>
        </w:rPr>
      </w:pPr>
      <w:r>
        <w:rPr>
          <w:rFonts w:hint="eastAsia" w:ascii="黑体" w:hAnsi="黑体" w:eastAsia="黑体"/>
          <w:color w:val="000000" w:themeColor="text1"/>
          <w:sz w:val="30"/>
          <w:szCs w:val="30"/>
        </w:rPr>
        <w:t>一、适用范围</w:t>
      </w:r>
    </w:p>
    <w:p>
      <w:pPr>
        <w:spacing w:line="520" w:lineRule="exact"/>
        <w:ind w:firstLine="640" w:firstLineChars="200"/>
        <w:rPr>
          <w:rFonts w:ascii="仿宋_GB2312" w:hAnsi="Times New Roman" w:eastAsia="仿宋_GB2312" w:cs="Times New Roman"/>
          <w:color w:val="000000" w:themeColor="text1"/>
          <w:sz w:val="32"/>
          <w:szCs w:val="20"/>
        </w:rPr>
      </w:pPr>
      <w:r>
        <w:rPr>
          <w:rFonts w:hint="eastAsia" w:ascii="仿宋_GB2312" w:hAnsi="Times New Roman" w:eastAsia="仿宋_GB2312" w:cs="Times New Roman"/>
          <w:color w:val="000000" w:themeColor="text1"/>
          <w:sz w:val="32"/>
          <w:szCs w:val="20"/>
        </w:rPr>
        <w:t>本审评规范适用于管理类别为Ⅱ类的导丝。适用于引导器械，进入泌尿系腔道或组织</w:t>
      </w:r>
      <w:r>
        <w:rPr>
          <w:rFonts w:ascii="仿宋_GB2312" w:hAnsi="Times New Roman" w:eastAsia="仿宋_GB2312" w:cs="Times New Roman"/>
          <w:color w:val="000000" w:themeColor="text1"/>
          <w:sz w:val="32"/>
          <w:szCs w:val="20"/>
        </w:rPr>
        <w:t>。</w:t>
      </w:r>
    </w:p>
    <w:p>
      <w:pPr>
        <w:spacing w:line="520" w:lineRule="exact"/>
        <w:ind w:firstLine="640" w:firstLineChars="200"/>
        <w:rPr>
          <w:rFonts w:ascii="仿宋_GB2312" w:hAnsi="Times New Roman" w:eastAsia="仿宋_GB2312" w:cs="Times New Roman"/>
          <w:color w:val="000000" w:themeColor="text1"/>
          <w:sz w:val="32"/>
          <w:szCs w:val="20"/>
        </w:rPr>
      </w:pPr>
      <w:bookmarkStart w:id="0" w:name="OLE_LINK1"/>
      <w:r>
        <w:rPr>
          <w:rFonts w:hint="eastAsia" w:ascii="仿宋_GB2312" w:hAnsi="Times New Roman" w:eastAsia="仿宋_GB2312" w:cs="Times New Roman"/>
          <w:color w:val="000000" w:themeColor="text1"/>
          <w:sz w:val="32"/>
          <w:szCs w:val="20"/>
        </w:rPr>
        <w:t>根据</w:t>
      </w:r>
      <w:r>
        <w:rPr>
          <w:rFonts w:hint="eastAsia" w:ascii="仿宋_GB2312" w:hAnsi="Times New Roman" w:eastAsia="仿宋_GB2312" w:cs="Times New Roman"/>
          <w:color w:val="000000" w:themeColor="text1"/>
          <w:sz w:val="32"/>
          <w:szCs w:val="20"/>
          <w:lang w:val="en-US" w:eastAsia="zh-CN"/>
        </w:rPr>
        <w:t>原</w:t>
      </w:r>
      <w:r>
        <w:rPr>
          <w:rFonts w:hint="eastAsia" w:ascii="仿宋_GB2312" w:hAnsi="Times New Roman" w:eastAsia="仿宋_GB2312" w:cs="Times New Roman"/>
          <w:color w:val="000000" w:themeColor="text1"/>
          <w:sz w:val="32"/>
          <w:szCs w:val="20"/>
        </w:rPr>
        <w:t>国家</w:t>
      </w:r>
      <w:r>
        <w:rPr>
          <w:rFonts w:hint="eastAsia" w:ascii="仿宋_GB2312" w:hAnsi="Times New Roman" w:eastAsia="仿宋_GB2312" w:cs="Times New Roman"/>
          <w:color w:val="000000" w:themeColor="text1"/>
          <w:sz w:val="32"/>
          <w:szCs w:val="20"/>
          <w:lang w:val="en-US" w:eastAsia="zh-CN"/>
        </w:rPr>
        <w:t>食品</w:t>
      </w:r>
      <w:r>
        <w:rPr>
          <w:rFonts w:hint="eastAsia" w:ascii="仿宋_GB2312" w:hAnsi="Times New Roman" w:eastAsia="仿宋_GB2312" w:cs="Times New Roman"/>
          <w:color w:val="000000" w:themeColor="text1"/>
          <w:sz w:val="32"/>
          <w:szCs w:val="20"/>
        </w:rPr>
        <w:t>药品监督管理总局公告2017第104号《医疗器械分类目录》中管理类别为Ⅱ类，编码为02-1</w:t>
      </w:r>
      <w:r>
        <w:rPr>
          <w:rFonts w:ascii="仿宋_GB2312" w:hAnsi="Times New Roman" w:eastAsia="仿宋_GB2312" w:cs="Times New Roman"/>
          <w:color w:val="000000" w:themeColor="text1"/>
          <w:sz w:val="32"/>
          <w:szCs w:val="20"/>
        </w:rPr>
        <w:t>2</w:t>
      </w:r>
      <w:r>
        <w:rPr>
          <w:rFonts w:hint="eastAsia" w:ascii="仿宋_GB2312" w:hAnsi="Times New Roman" w:eastAsia="仿宋_GB2312" w:cs="Times New Roman"/>
          <w:color w:val="000000" w:themeColor="text1"/>
          <w:sz w:val="32"/>
          <w:szCs w:val="20"/>
        </w:rPr>
        <w:t>-03项下用于引导器械，进入腔道或组织的导丝类产品。</w:t>
      </w:r>
      <w:bookmarkEnd w:id="0"/>
    </w:p>
    <w:p>
      <w:pPr>
        <w:spacing w:line="520" w:lineRule="exact"/>
        <w:ind w:right="-67" w:rightChars="-32"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二、技术审查要点</w:t>
      </w:r>
    </w:p>
    <w:p>
      <w:pPr>
        <w:spacing w:line="520" w:lineRule="exact"/>
        <w:ind w:firstLine="640" w:firstLineChars="200"/>
        <w:rPr>
          <w:rFonts w:ascii="楷体_GB2312" w:hAnsi="楷体" w:eastAsia="楷体_GB2312"/>
          <w:color w:val="000000" w:themeColor="text1"/>
          <w:sz w:val="32"/>
          <w:szCs w:val="32"/>
        </w:rPr>
      </w:pPr>
      <w:r>
        <w:rPr>
          <w:rFonts w:hint="eastAsia" w:ascii="楷体_GB2312" w:hAnsi="楷体" w:eastAsia="楷体_GB2312"/>
          <w:color w:val="000000" w:themeColor="text1"/>
          <w:sz w:val="32"/>
          <w:szCs w:val="32"/>
        </w:rPr>
        <w:t>（一）产品名称的要求</w:t>
      </w:r>
    </w:p>
    <w:p>
      <w:pPr>
        <w:adjustRightInd w:val="0"/>
        <w:snapToGrid w:val="0"/>
        <w:spacing w:line="520" w:lineRule="exact"/>
        <w:ind w:firstLine="627" w:firstLineChars="196"/>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产品的命名应符合《医疗器械通用名称命名规则》《无源手术器械通用名称命名指导原则》，可采用《医疗器械分类目录》或发布的国家标准、行业标准上的通用名称，或以产品使用的材料特点和预期用途为依据命名。一般采用“特征词1+特征词</w:t>
      </w:r>
      <w:r>
        <w:rPr>
          <w:rFonts w:ascii="仿宋_GB2312" w:hAnsi="仿宋" w:eastAsia="仿宋_GB2312"/>
          <w:color w:val="000000" w:themeColor="text1"/>
          <w:sz w:val="32"/>
          <w:szCs w:val="32"/>
        </w:rPr>
        <w:t>2</w:t>
      </w:r>
      <w:r>
        <w:rPr>
          <w:rFonts w:hint="eastAsia" w:ascii="仿宋_GB2312" w:hAnsi="仿宋" w:eastAsia="仿宋_GB2312"/>
          <w:color w:val="000000" w:themeColor="text1"/>
          <w:sz w:val="32"/>
          <w:szCs w:val="32"/>
        </w:rPr>
        <w:t>+核心词”的命名方法，特征词一般不超过3个。如果一个产品可用于多个使用部位，产品名称可以不体现使用部位，但产品适用范围必须写明使用部位。如命名术语表1所示。</w:t>
      </w:r>
    </w:p>
    <w:p>
      <w:pPr>
        <w:adjustRightInd w:val="0"/>
        <w:snapToGrid w:val="0"/>
        <w:spacing w:line="520" w:lineRule="exact"/>
        <w:ind w:firstLine="627" w:firstLineChars="196"/>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命名术语表1：。</w:t>
      </w:r>
    </w:p>
    <w:tbl>
      <w:tblPr>
        <w:tblStyle w:val="16"/>
        <w:tblW w:w="8555"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344"/>
        <w:gridCol w:w="1895"/>
        <w:gridCol w:w="431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497"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黑体"/>
                <w:bCs/>
                <w:color w:val="000000" w:themeColor="text1"/>
                <w:kern w:val="0"/>
                <w:sz w:val="24"/>
                <w:szCs w:val="21"/>
              </w:rPr>
            </w:pPr>
            <w:r>
              <w:rPr>
                <w:rFonts w:hint="eastAsia" w:ascii="仿宋" w:hAnsi="仿宋" w:eastAsia="仿宋" w:cs="黑体"/>
                <w:bCs/>
                <w:color w:val="000000" w:themeColor="text1"/>
                <w:sz w:val="24"/>
                <w:szCs w:val="21"/>
              </w:rPr>
              <w:t>术语类别</w:t>
            </w:r>
          </w:p>
        </w:tc>
        <w:tc>
          <w:tcPr>
            <w:tcW w:w="1895"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黑体"/>
                <w:bCs/>
                <w:color w:val="000000" w:themeColor="text1"/>
                <w:kern w:val="0"/>
                <w:sz w:val="24"/>
                <w:szCs w:val="21"/>
              </w:rPr>
            </w:pPr>
            <w:r>
              <w:rPr>
                <w:rFonts w:hint="eastAsia" w:ascii="仿宋" w:hAnsi="仿宋" w:eastAsia="仿宋" w:cs="黑体"/>
                <w:bCs/>
                <w:color w:val="000000" w:themeColor="text1"/>
                <w:sz w:val="24"/>
                <w:szCs w:val="21"/>
              </w:rPr>
              <w:t>术语名称</w:t>
            </w:r>
          </w:p>
        </w:tc>
        <w:tc>
          <w:tcPr>
            <w:tcW w:w="4316"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黑体"/>
                <w:bCs/>
                <w:color w:val="000000" w:themeColor="text1"/>
                <w:kern w:val="0"/>
                <w:sz w:val="24"/>
                <w:szCs w:val="21"/>
              </w:rPr>
            </w:pPr>
            <w:r>
              <w:rPr>
                <w:rFonts w:hint="eastAsia" w:ascii="仿宋" w:hAnsi="仿宋" w:eastAsia="仿宋" w:cs="黑体"/>
                <w:bCs/>
                <w:color w:val="000000" w:themeColor="text1"/>
                <w:sz w:val="24"/>
                <w:szCs w:val="21"/>
              </w:rPr>
              <w:t>术语描述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438"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Times New Roman"/>
                <w:bCs/>
                <w:color w:val="000000" w:themeColor="text1"/>
                <w:kern w:val="0"/>
                <w:sz w:val="24"/>
                <w:szCs w:val="21"/>
              </w:rPr>
            </w:pPr>
            <w:r>
              <w:rPr>
                <w:rFonts w:ascii="仿宋" w:hAnsi="仿宋" w:eastAsia="仿宋" w:cs="Times New Roman"/>
                <w:bCs/>
                <w:color w:val="000000" w:themeColor="text1"/>
                <w:kern w:val="0"/>
                <w:sz w:val="24"/>
                <w:szCs w:val="21"/>
              </w:rPr>
              <w:t>核心词</w:t>
            </w:r>
          </w:p>
        </w:tc>
        <w:tc>
          <w:tcPr>
            <w:tcW w:w="1895"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Times New Roman"/>
                <w:bCs/>
                <w:color w:val="000000" w:themeColor="text1"/>
                <w:kern w:val="0"/>
                <w:sz w:val="24"/>
                <w:szCs w:val="21"/>
              </w:rPr>
            </w:pPr>
            <w:r>
              <w:rPr>
                <w:rFonts w:hint="eastAsia" w:ascii="仿宋" w:hAnsi="仿宋" w:eastAsia="仿宋" w:cs="Times New Roman"/>
                <w:bCs/>
                <w:color w:val="000000" w:themeColor="text1"/>
                <w:kern w:val="0"/>
                <w:sz w:val="24"/>
                <w:szCs w:val="21"/>
              </w:rPr>
              <w:t>导丝</w:t>
            </w:r>
          </w:p>
        </w:tc>
        <w:tc>
          <w:tcPr>
            <w:tcW w:w="4316"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Times New Roman"/>
                <w:bCs/>
                <w:color w:val="000000" w:themeColor="text1"/>
                <w:kern w:val="0"/>
                <w:sz w:val="24"/>
                <w:szCs w:val="21"/>
              </w:rPr>
            </w:pPr>
            <w:r>
              <w:rPr>
                <w:rFonts w:ascii="仿宋" w:hAnsi="仿宋" w:eastAsia="仿宋" w:cs="Times New Roman"/>
                <w:bCs/>
                <w:color w:val="000000" w:themeColor="text1"/>
                <w:kern w:val="0"/>
                <w:sz w:val="24"/>
                <w:szCs w:val="21"/>
              </w:rPr>
              <w:t>用于</w:t>
            </w:r>
            <w:r>
              <w:rPr>
                <w:rFonts w:hint="eastAsia" w:ascii="仿宋" w:hAnsi="仿宋" w:eastAsia="仿宋" w:cs="Times New Roman"/>
                <w:bCs/>
                <w:color w:val="000000" w:themeColor="text1"/>
                <w:kern w:val="0"/>
                <w:sz w:val="24"/>
                <w:szCs w:val="21"/>
              </w:rPr>
              <w:t>引导器械，进入腔道或组织。（也可具体描述，如：用于引导输尿管支架或其他器械，进入输尿管）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908" w:hRule="atLeast"/>
          <w:jc w:val="center"/>
        </w:trPr>
        <w:tc>
          <w:tcPr>
            <w:tcW w:w="2344" w:type="dxa"/>
            <w:vMerge w:val="restart"/>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Times New Roman"/>
                <w:bCs/>
                <w:color w:val="000000" w:themeColor="text1"/>
                <w:kern w:val="0"/>
                <w:sz w:val="24"/>
                <w:szCs w:val="21"/>
              </w:rPr>
            </w:pPr>
            <w:r>
              <w:rPr>
                <w:rFonts w:ascii="仿宋" w:hAnsi="仿宋" w:eastAsia="仿宋" w:cs="Times New Roman"/>
                <w:bCs/>
                <w:color w:val="000000" w:themeColor="text1"/>
                <w:kern w:val="0"/>
                <w:sz w:val="24"/>
                <w:szCs w:val="21"/>
              </w:rPr>
              <w:t>特征词1-使用和提供形式</w:t>
            </w:r>
          </w:p>
        </w:tc>
        <w:tc>
          <w:tcPr>
            <w:tcW w:w="1895"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Times New Roman"/>
                <w:bCs/>
                <w:color w:val="000000" w:themeColor="text1"/>
                <w:kern w:val="0"/>
                <w:sz w:val="24"/>
                <w:szCs w:val="21"/>
              </w:rPr>
            </w:pPr>
            <w:r>
              <w:rPr>
                <w:rFonts w:ascii="仿宋" w:hAnsi="仿宋" w:eastAsia="仿宋" w:cs="Times New Roman"/>
                <w:bCs/>
                <w:color w:val="000000" w:themeColor="text1"/>
                <w:kern w:val="0"/>
                <w:sz w:val="24"/>
                <w:szCs w:val="21"/>
              </w:rPr>
              <w:t>一次性使用无菌</w:t>
            </w:r>
          </w:p>
        </w:tc>
        <w:tc>
          <w:tcPr>
            <w:tcW w:w="4316"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Times New Roman"/>
                <w:bCs/>
                <w:color w:val="000000" w:themeColor="text1"/>
                <w:kern w:val="0"/>
                <w:sz w:val="24"/>
                <w:szCs w:val="21"/>
              </w:rPr>
            </w:pPr>
            <w:r>
              <w:rPr>
                <w:rFonts w:ascii="仿宋" w:hAnsi="仿宋" w:eastAsia="仿宋" w:cs="Times New Roman"/>
                <w:bCs/>
                <w:color w:val="000000" w:themeColor="text1"/>
                <w:kern w:val="0"/>
                <w:sz w:val="24"/>
                <w:szCs w:val="21"/>
              </w:rPr>
              <w:t>以无菌形式提供，且仅供一次性使用，或在一次医疗操作过程中只能用于一例患者。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630" w:hRule="atLeast"/>
          <w:jc w:val="center"/>
        </w:trPr>
        <w:tc>
          <w:tcPr>
            <w:tcW w:w="2344"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color w:val="000000" w:themeColor="text1"/>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Times New Roman"/>
                <w:bCs/>
                <w:color w:val="000000" w:themeColor="text1"/>
                <w:kern w:val="0"/>
                <w:sz w:val="24"/>
                <w:szCs w:val="21"/>
              </w:rPr>
            </w:pPr>
            <w:r>
              <w:rPr>
                <w:rFonts w:ascii="仿宋" w:hAnsi="仿宋" w:eastAsia="仿宋" w:cs="Times New Roman"/>
                <w:bCs/>
                <w:color w:val="000000" w:themeColor="text1"/>
                <w:kern w:val="0"/>
                <w:sz w:val="24"/>
                <w:szCs w:val="21"/>
              </w:rPr>
              <w:t>可重复使用</w:t>
            </w:r>
          </w:p>
          <w:p>
            <w:pPr>
              <w:autoSpaceDN w:val="0"/>
              <w:jc w:val="center"/>
              <w:rPr>
                <w:rFonts w:ascii="仿宋" w:hAnsi="仿宋" w:eastAsia="仿宋" w:cs="Times New Roman"/>
                <w:bCs/>
                <w:color w:val="000000" w:themeColor="text1"/>
                <w:kern w:val="0"/>
                <w:sz w:val="24"/>
                <w:szCs w:val="21"/>
              </w:rPr>
            </w:pPr>
            <w:r>
              <w:rPr>
                <w:rFonts w:ascii="仿宋" w:hAnsi="仿宋" w:eastAsia="仿宋" w:cs="Times New Roman"/>
                <w:bCs/>
                <w:color w:val="000000" w:themeColor="text1"/>
                <w:kern w:val="0"/>
                <w:sz w:val="24"/>
                <w:szCs w:val="21"/>
              </w:rPr>
              <w:t>（缺省）</w:t>
            </w:r>
          </w:p>
        </w:tc>
        <w:tc>
          <w:tcPr>
            <w:tcW w:w="4316"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Times New Roman"/>
                <w:bCs/>
                <w:color w:val="000000" w:themeColor="text1"/>
                <w:kern w:val="0"/>
                <w:sz w:val="24"/>
                <w:szCs w:val="21"/>
              </w:rPr>
            </w:pPr>
            <w:r>
              <w:rPr>
                <w:rFonts w:ascii="仿宋" w:hAnsi="仿宋" w:eastAsia="仿宋" w:cs="Times New Roman"/>
                <w:bCs/>
                <w:color w:val="000000" w:themeColor="text1"/>
                <w:kern w:val="0"/>
                <w:sz w:val="24"/>
                <w:szCs w:val="21"/>
              </w:rPr>
              <w:t>经一定处理后可再次使用。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908"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Times New Roman"/>
                <w:bCs/>
                <w:color w:val="000000" w:themeColor="text1"/>
                <w:kern w:val="0"/>
                <w:sz w:val="24"/>
                <w:szCs w:val="21"/>
              </w:rPr>
            </w:pPr>
            <w:r>
              <w:rPr>
                <w:rFonts w:ascii="仿宋" w:hAnsi="仿宋" w:eastAsia="仿宋" w:cs="Times New Roman"/>
                <w:bCs/>
                <w:color w:val="000000" w:themeColor="text1"/>
                <w:kern w:val="0"/>
                <w:sz w:val="24"/>
                <w:szCs w:val="21"/>
              </w:rPr>
              <w:t>特征词</w:t>
            </w:r>
            <w:r>
              <w:rPr>
                <w:rFonts w:hint="eastAsia" w:ascii="仿宋" w:hAnsi="仿宋" w:eastAsia="仿宋" w:cs="Times New Roman"/>
                <w:bCs/>
                <w:color w:val="000000" w:themeColor="text1"/>
                <w:kern w:val="0"/>
                <w:sz w:val="24"/>
                <w:szCs w:val="21"/>
              </w:rPr>
              <w:t>2</w:t>
            </w:r>
            <w:r>
              <w:rPr>
                <w:rFonts w:ascii="仿宋" w:hAnsi="仿宋" w:eastAsia="仿宋" w:cs="Times New Roman"/>
                <w:bCs/>
                <w:color w:val="000000" w:themeColor="text1"/>
                <w:kern w:val="0"/>
                <w:sz w:val="24"/>
                <w:szCs w:val="21"/>
              </w:rPr>
              <w:t>-使用部位</w:t>
            </w:r>
          </w:p>
        </w:tc>
        <w:tc>
          <w:tcPr>
            <w:tcW w:w="1895"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Times New Roman"/>
                <w:bCs/>
                <w:color w:val="000000" w:themeColor="text1"/>
                <w:kern w:val="0"/>
                <w:sz w:val="24"/>
                <w:szCs w:val="21"/>
              </w:rPr>
            </w:pPr>
            <w:r>
              <w:rPr>
                <w:rFonts w:hint="eastAsia" w:ascii="仿宋" w:hAnsi="仿宋" w:eastAsia="仿宋" w:cs="Times New Roman"/>
                <w:bCs/>
                <w:color w:val="000000" w:themeColor="text1"/>
                <w:kern w:val="0"/>
                <w:sz w:val="24"/>
                <w:szCs w:val="21"/>
              </w:rPr>
              <w:t>泌尿系腔道或组织部位使用</w:t>
            </w:r>
          </w:p>
        </w:tc>
        <w:tc>
          <w:tcPr>
            <w:tcW w:w="4316"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Times New Roman"/>
                <w:bCs/>
                <w:color w:val="000000" w:themeColor="text1"/>
                <w:kern w:val="0"/>
                <w:sz w:val="24"/>
                <w:szCs w:val="21"/>
              </w:rPr>
            </w:pPr>
            <w:r>
              <w:rPr>
                <w:rFonts w:hint="eastAsia" w:ascii="仿宋" w:hAnsi="仿宋" w:eastAsia="仿宋" w:cs="Times New Roman"/>
                <w:bCs/>
                <w:color w:val="000000" w:themeColor="text1"/>
                <w:kern w:val="0"/>
                <w:sz w:val="24"/>
                <w:szCs w:val="21"/>
              </w:rPr>
              <w:t>泌尿系腔道或组织</w:t>
            </w:r>
            <w:r>
              <w:rPr>
                <w:rFonts w:ascii="仿宋" w:hAnsi="仿宋" w:eastAsia="仿宋" w:cs="Times New Roman"/>
                <w:bCs/>
                <w:color w:val="000000" w:themeColor="text1"/>
                <w:kern w:val="0"/>
                <w:sz w:val="24"/>
                <w:szCs w:val="21"/>
              </w:rPr>
              <w:t>专用使用部位</w:t>
            </w:r>
          </w:p>
        </w:tc>
      </w:tr>
    </w:tbl>
    <w:p>
      <w:pPr>
        <w:spacing w:line="520" w:lineRule="exact"/>
        <w:ind w:firstLine="640" w:firstLineChars="200"/>
        <w:rPr>
          <w:rFonts w:ascii="楷体_GB2312" w:hAnsi="楷体" w:eastAsia="楷体_GB2312"/>
          <w:color w:val="000000" w:themeColor="text1"/>
          <w:sz w:val="32"/>
          <w:szCs w:val="32"/>
        </w:rPr>
      </w:pPr>
      <w:r>
        <w:rPr>
          <w:rFonts w:hint="eastAsia" w:ascii="楷体_GB2312" w:hAnsi="楷体" w:eastAsia="楷体_GB2312"/>
          <w:color w:val="000000" w:themeColor="text1"/>
          <w:sz w:val="32"/>
          <w:szCs w:val="32"/>
        </w:rPr>
        <w:t>（二）产品的结构组成</w:t>
      </w:r>
    </w:p>
    <w:p>
      <w:pPr>
        <w:spacing w:line="480" w:lineRule="auto"/>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导丝基本结构为芯丝，根据产品设计可有绕丝或聚合物护套、或安全丝，可有涂层、可分不同的头端结构部分。</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1、芯丝</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通常由镍钛合金（NiTi）或</w:t>
      </w:r>
      <w:r>
        <w:rPr>
          <w:rFonts w:hint="eastAsia" w:ascii="仿宋" w:hAnsi="仿宋" w:eastAsia="仿宋" w:cs="仿宋"/>
          <w:color w:val="000000" w:themeColor="text1"/>
          <w:sz w:val="32"/>
          <w:szCs w:val="32"/>
        </w:rPr>
        <w:t>不锈钢等制成。芯丝呈圆柱形，其尖端可呈锥形或者流线形变细。</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2、绕丝或聚合物护套</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绕丝：一般由不锈钢材料制成，以螺旋状缠绕，增加了导丝的支撑力、操控性，但另一方面增加了导丝与</w:t>
      </w:r>
      <w:r>
        <w:rPr>
          <w:rFonts w:hint="eastAsia" w:ascii="仿宋" w:hAnsi="仿宋" w:eastAsia="仿宋"/>
          <w:bCs/>
          <w:color w:val="000000" w:themeColor="text1"/>
          <w:sz w:val="32"/>
          <w:szCs w:val="32"/>
        </w:rPr>
        <w:t>腔道</w:t>
      </w:r>
      <w:r>
        <w:rPr>
          <w:rFonts w:hint="eastAsia" w:ascii="仿宋" w:hAnsi="仿宋" w:eastAsia="仿宋"/>
          <w:color w:val="000000" w:themeColor="text1"/>
          <w:sz w:val="32"/>
          <w:szCs w:val="32"/>
        </w:rPr>
        <w:t>之间的摩擦力，降低了导丝通过病变部位的能力。</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聚合物护套：</w:t>
      </w:r>
      <w:r>
        <w:rPr>
          <w:rFonts w:hint="eastAsia" w:ascii="仿宋" w:hAnsi="仿宋" w:eastAsia="仿宋"/>
          <w:bCs/>
          <w:color w:val="000000" w:themeColor="text1"/>
          <w:sz w:val="32"/>
          <w:szCs w:val="32"/>
        </w:rPr>
        <w:t>聚合物护套由一种或多种高分子材料制成，如聚氨酯、聚四氟乙烯等，通常包裹</w:t>
      </w:r>
      <w:r>
        <w:rPr>
          <w:rFonts w:hint="eastAsia" w:ascii="仿宋" w:hAnsi="仿宋" w:eastAsia="仿宋"/>
          <w:color w:val="000000" w:themeColor="text1"/>
          <w:sz w:val="32"/>
          <w:szCs w:val="32"/>
        </w:rPr>
        <w:t>/涂覆</w:t>
      </w:r>
      <w:r>
        <w:rPr>
          <w:rFonts w:hint="eastAsia" w:ascii="仿宋" w:hAnsi="仿宋" w:eastAsia="仿宋"/>
          <w:bCs/>
          <w:color w:val="000000" w:themeColor="text1"/>
          <w:sz w:val="32"/>
          <w:szCs w:val="32"/>
        </w:rPr>
        <w:t>在芯丝外面，</w:t>
      </w:r>
      <w:r>
        <w:rPr>
          <w:rFonts w:hint="eastAsia" w:ascii="仿宋" w:hAnsi="仿宋" w:eastAsia="仿宋"/>
          <w:color w:val="000000" w:themeColor="text1"/>
          <w:sz w:val="32"/>
          <w:szCs w:val="32"/>
        </w:rPr>
        <w:t>使导丝表面变得更加光滑，减少了导丝与病变部位间的摩擦力，降低了通过阻力。</w:t>
      </w:r>
    </w:p>
    <w:p>
      <w:pPr>
        <w:spacing w:line="560" w:lineRule="exact"/>
        <w:ind w:firstLine="640" w:firstLineChars="200"/>
        <w:rPr>
          <w:rFonts w:ascii="仿宋" w:hAnsi="仿宋" w:eastAsia="仿宋"/>
          <w:bCs/>
          <w:color w:val="000000" w:themeColor="text1"/>
          <w:sz w:val="32"/>
          <w:szCs w:val="32"/>
        </w:rPr>
      </w:pPr>
      <w:r>
        <w:rPr>
          <w:rFonts w:hint="eastAsia" w:ascii="仿宋" w:hAnsi="仿宋" w:eastAsia="仿宋"/>
          <w:color w:val="000000" w:themeColor="text1"/>
          <w:sz w:val="32"/>
          <w:szCs w:val="32"/>
        </w:rPr>
        <w:t>3、安全丝</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用于使导丝头端脱落可能性最小的附加金属丝。</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4、涂层</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常见的涂层为亲水涂层，疏水涂层。亲水涂层材料通常有聚乙烯吡咯烷酮（PVP）、聚丙烯酰胺（</w:t>
      </w:r>
      <w:r>
        <w:rPr>
          <w:rFonts w:ascii="仿宋" w:hAnsi="仿宋" w:eastAsia="仿宋"/>
          <w:color w:val="000000" w:themeColor="text1"/>
          <w:sz w:val="32"/>
          <w:szCs w:val="32"/>
        </w:rPr>
        <w:t>PAM</w:t>
      </w:r>
      <w:r>
        <w:rPr>
          <w:rFonts w:hint="eastAsia" w:ascii="仿宋" w:hAnsi="仿宋" w:eastAsia="仿宋"/>
          <w:color w:val="000000" w:themeColor="text1"/>
          <w:sz w:val="32"/>
          <w:szCs w:val="32"/>
        </w:rPr>
        <w:t>）等，疏水涂层材料通常有聚四氟乙烯（PTFE）等。亲水涂层在干燥状态下为一薄层不光滑物质，遇水时吸引水分子，使导丝表面形成光滑凝胶状，降低了导丝的摩擦力，提高了导丝的推送性。疏水涂层排斥水分子，使导丝表面呈蜡样光滑，降低了导丝的摩擦力，提高了导丝的推送性。</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5</w:t>
      </w:r>
      <w:r>
        <w:rPr>
          <w:rFonts w:hint="eastAsia" w:ascii="仿宋" w:hAnsi="仿宋" w:eastAsia="仿宋"/>
          <w:color w:val="000000" w:themeColor="text1"/>
          <w:sz w:val="32"/>
          <w:szCs w:val="32"/>
        </w:rPr>
        <w:t>、头端结构</w:t>
      </w:r>
    </w:p>
    <w:p>
      <w:pPr>
        <w:spacing w:line="560" w:lineRule="exact"/>
        <w:ind w:firstLine="640" w:firstLineChars="200"/>
        <w:rPr>
          <w:rFonts w:ascii="仿宋" w:hAnsi="仿宋" w:eastAsia="仿宋"/>
          <w:bCs/>
          <w:strike/>
          <w:color w:val="000000" w:themeColor="text1"/>
          <w:sz w:val="32"/>
          <w:szCs w:val="32"/>
        </w:rPr>
      </w:pPr>
      <w:r>
        <w:rPr>
          <w:rFonts w:hint="eastAsia" w:ascii="仿宋" w:hAnsi="仿宋" w:eastAsia="仿宋"/>
          <w:color w:val="000000" w:themeColor="text1"/>
          <w:sz w:val="32"/>
          <w:szCs w:val="32"/>
        </w:rPr>
        <w:t>头端形状有</w:t>
      </w:r>
      <w:r>
        <w:rPr>
          <w:rFonts w:hint="eastAsia" w:ascii="仿宋" w:hAnsi="仿宋" w:eastAsia="仿宋"/>
          <w:bCs/>
          <w:color w:val="000000" w:themeColor="text1"/>
          <w:sz w:val="32"/>
          <w:szCs w:val="32"/>
        </w:rPr>
        <w:t>直头、弯头（头端与导丝轴线弯曲成一定的角度）、J形及不同头端形状设计（如球头）。</w:t>
      </w:r>
    </w:p>
    <w:p>
      <w:pPr>
        <w:spacing w:line="560" w:lineRule="exact"/>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55168" behindDoc="0" locked="0" layoutInCell="1" allowOverlap="1">
            <wp:simplePos x="0" y="0"/>
            <wp:positionH relativeFrom="column">
              <wp:posOffset>985520</wp:posOffset>
            </wp:positionH>
            <wp:positionV relativeFrom="paragraph">
              <wp:posOffset>199390</wp:posOffset>
            </wp:positionV>
            <wp:extent cx="3924300" cy="666750"/>
            <wp:effectExtent l="0" t="0" r="0" b="0"/>
            <wp:wrapSquare wrapText="bothSides"/>
            <wp:docPr id="18" name="图片 18" descr="微信图片_20201023170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010231708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924300" cy="666750"/>
                    </a:xfrm>
                    <a:prstGeom prst="rect">
                      <a:avLst/>
                    </a:prstGeom>
                    <a:noFill/>
                    <a:ln>
                      <a:noFill/>
                    </a:ln>
                  </pic:spPr>
                </pic:pic>
              </a:graphicData>
            </a:graphic>
          </wp:anchor>
        </w:drawing>
      </w:r>
    </w:p>
    <w:p>
      <w:pPr>
        <w:spacing w:line="520" w:lineRule="exact"/>
        <w:ind w:firstLine="560" w:firstLineChars="200"/>
        <w:rPr>
          <w:rFonts w:ascii="仿宋" w:hAnsi="仿宋" w:eastAsia="仿宋"/>
          <w:color w:val="000000" w:themeColor="text1"/>
          <w:sz w:val="28"/>
          <w:szCs w:val="28"/>
        </w:rPr>
      </w:pPr>
    </w:p>
    <w:p>
      <w:pPr>
        <w:spacing w:line="520" w:lineRule="exact"/>
        <w:ind w:firstLine="560" w:firstLineChars="200"/>
        <w:rPr>
          <w:rFonts w:ascii="仿宋" w:hAnsi="仿宋" w:eastAsia="仿宋"/>
          <w:color w:val="000000" w:themeColor="text1"/>
          <w:sz w:val="28"/>
          <w:szCs w:val="28"/>
        </w:rPr>
      </w:pPr>
    </w:p>
    <w:p>
      <w:pPr>
        <w:numPr>
          <w:ilvl w:val="0"/>
          <w:numId w:val="1"/>
        </w:numPr>
        <w:spacing w:line="52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芯丝 2-绕丝</w:t>
      </w:r>
    </w:p>
    <w:p>
      <w:pPr>
        <w:spacing w:line="520" w:lineRule="exact"/>
        <w:jc w:val="center"/>
        <w:rPr>
          <w:rFonts w:ascii="黑体" w:hAnsi="黑体" w:eastAsia="黑体" w:cs="黑体"/>
          <w:color w:val="000000" w:themeColor="text1"/>
          <w:sz w:val="28"/>
          <w:szCs w:val="28"/>
        </w:rPr>
      </w:pPr>
      <w:r>
        <w:rPr>
          <w:rFonts w:hint="eastAsia" w:ascii="仿宋" w:hAnsi="仿宋" w:eastAsia="仿宋"/>
          <w:color w:val="000000" w:themeColor="text1"/>
          <w:sz w:val="28"/>
          <w:szCs w:val="28"/>
        </w:rPr>
        <w:drawing>
          <wp:anchor distT="45720" distB="45720" distL="114300" distR="114300" simplePos="0" relativeHeight="251658240" behindDoc="0" locked="0" layoutInCell="1" allowOverlap="1">
            <wp:simplePos x="0" y="0"/>
            <wp:positionH relativeFrom="column">
              <wp:posOffset>690880</wp:posOffset>
            </wp:positionH>
            <wp:positionV relativeFrom="paragraph">
              <wp:posOffset>675640</wp:posOffset>
            </wp:positionV>
            <wp:extent cx="3960495" cy="1049655"/>
            <wp:effectExtent l="0" t="0" r="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960495" cy="1049655"/>
                    </a:xfrm>
                    <a:prstGeom prst="rect">
                      <a:avLst/>
                    </a:prstGeom>
                    <a:noFill/>
                    <a:ln>
                      <a:noFill/>
                    </a:ln>
                  </pic:spPr>
                </pic:pic>
              </a:graphicData>
            </a:graphic>
          </wp:anchor>
        </w:drawing>
      </w:r>
      <w:r>
        <w:rPr>
          <w:rFonts w:hint="eastAsia" w:ascii="黑体" w:hAnsi="黑体" w:eastAsia="黑体" w:cs="黑体"/>
          <w:color w:val="000000" w:themeColor="text1"/>
          <w:sz w:val="28"/>
          <w:szCs w:val="28"/>
        </w:rPr>
        <w:t>导丝结构示例图1</w:t>
      </w:r>
    </w:p>
    <w:p>
      <w:pPr>
        <w:numPr>
          <w:ilvl w:val="0"/>
          <w:numId w:val="2"/>
        </w:numPr>
        <w:spacing w:line="52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芯丝  3-聚合物护套  4-涂层</w:t>
      </w:r>
    </w:p>
    <w:p>
      <w:pPr>
        <w:spacing w:line="520" w:lineRule="exact"/>
        <w:jc w:val="center"/>
        <w:rPr>
          <w:rFonts w:ascii="仿宋" w:hAnsi="仿宋" w:eastAsia="仿宋"/>
          <w:color w:val="000000" w:themeColor="text1"/>
          <w:sz w:val="28"/>
          <w:szCs w:val="28"/>
        </w:rPr>
      </w:pPr>
      <w:r>
        <w:rPr>
          <w:rFonts w:hint="eastAsia" w:ascii="黑体" w:hAnsi="黑体" w:eastAsia="黑体" w:cs="黑体"/>
          <w:color w:val="000000" w:themeColor="text1"/>
          <w:sz w:val="28"/>
          <w:szCs w:val="28"/>
        </w:rPr>
        <w:t>导丝结构示例图2</w:t>
      </w:r>
    </w:p>
    <w:p>
      <w:pPr>
        <w:spacing w:line="520" w:lineRule="exact"/>
        <w:rPr>
          <w:rFonts w:ascii="仿宋" w:hAnsi="仿宋" w:eastAsia="仿宋"/>
          <w:color w:val="000000" w:themeColor="text1"/>
          <w:sz w:val="28"/>
          <w:szCs w:val="28"/>
        </w:rPr>
      </w:pPr>
    </w:p>
    <w:p>
      <w:pPr>
        <w:spacing w:line="520" w:lineRule="exact"/>
        <w:ind w:firstLine="2800" w:firstLineChars="1000"/>
        <w:rPr>
          <w:rFonts w:ascii="仿宋" w:hAnsi="仿宋" w:eastAsia="仿宋"/>
          <w:color w:val="000000" w:themeColor="text1"/>
          <w:sz w:val="28"/>
          <w:szCs w:val="28"/>
        </w:rPr>
      </w:pPr>
      <w:r>
        <w:rPr>
          <w:rFonts w:ascii="仿宋" w:hAnsi="仿宋" w:eastAsia="仿宋"/>
          <w:color w:val="000000" w:themeColor="text1"/>
          <w:sz w:val="28"/>
          <w:szCs w:val="28"/>
        </w:rPr>
        <w:drawing>
          <wp:anchor distT="45720" distB="45720" distL="114300" distR="114300" simplePos="0" relativeHeight="251652096" behindDoc="0" locked="0" layoutInCell="1" allowOverlap="1">
            <wp:simplePos x="0" y="0"/>
            <wp:positionH relativeFrom="column">
              <wp:posOffset>492125</wp:posOffset>
            </wp:positionH>
            <wp:positionV relativeFrom="paragraph">
              <wp:posOffset>147955</wp:posOffset>
            </wp:positionV>
            <wp:extent cx="4832350" cy="914400"/>
            <wp:effectExtent l="0" t="0" r="0" b="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32350" cy="914400"/>
                    </a:xfrm>
                    <a:prstGeom prst="rect">
                      <a:avLst/>
                    </a:prstGeom>
                    <a:noFill/>
                    <a:ln>
                      <a:noFill/>
                    </a:ln>
                  </pic:spPr>
                </pic:pic>
              </a:graphicData>
            </a:graphic>
          </wp:anchor>
        </w:drawing>
      </w:r>
      <w:r>
        <w:rPr>
          <w:rFonts w:hint="eastAsia" w:ascii="仿宋" w:hAnsi="仿宋" w:eastAsia="仿宋"/>
          <w:color w:val="000000" w:themeColor="text1"/>
          <w:sz w:val="28"/>
          <w:szCs w:val="28"/>
        </w:rPr>
        <w:t>1芯丝  3-聚合物护套</w:t>
      </w:r>
    </w:p>
    <w:p>
      <w:pPr>
        <w:spacing w:line="52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drawing>
          <wp:anchor distT="0" distB="0" distL="114300" distR="114300" simplePos="0" relativeHeight="251645952" behindDoc="0" locked="0" layoutInCell="1" allowOverlap="1">
            <wp:simplePos x="0" y="0"/>
            <wp:positionH relativeFrom="column">
              <wp:posOffset>955675</wp:posOffset>
            </wp:positionH>
            <wp:positionV relativeFrom="paragraph">
              <wp:posOffset>345440</wp:posOffset>
            </wp:positionV>
            <wp:extent cx="4062730" cy="1487170"/>
            <wp:effectExtent l="0" t="0" r="0" b="0"/>
            <wp:wrapSquare wrapText="bothSides"/>
            <wp:docPr id="14" name="图片 14" descr="微信图片_2020102214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010221451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62730" cy="1487170"/>
                    </a:xfrm>
                    <a:prstGeom prst="rect">
                      <a:avLst/>
                    </a:prstGeom>
                    <a:noFill/>
                    <a:ln>
                      <a:noFill/>
                    </a:ln>
                  </pic:spPr>
                </pic:pic>
              </a:graphicData>
            </a:graphic>
          </wp:anchor>
        </w:drawing>
      </w:r>
      <w:r>
        <w:rPr>
          <w:color w:val="000000" w:themeColor="text1"/>
        </w:rPr>
        <w:pict>
          <v:shape id="_x0000_s1026" o:spid="_x0000_s1026" o:spt="202" type="#_x0000_t202" style="position:absolute;left:0pt;margin-left:309.65pt;margin-top:17.15pt;height:22.8pt;width:44.9pt;mso-wrap-distance-bottom:3.6pt;mso-wrap-distance-left:9pt;mso-wrap-distance-right:9pt;mso-wrap-distance-top:3.6pt;z-index:251665408;mso-width-relative:margin;mso-height-relative:margin;mso-height-percent:200;"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ltxwwIAALkFAAAOAAAAZHJzL2Uyb0RvYy54bWysVMtu1DAU3SPxD5b3aR71PBI1U7WTCUIq&#10;D6nwAZ7EmVgkdrA9kymILfwBKzbs+a5+B9fOvNpuEJBFZPten/s4x/ficts2aMOU5lKkODwLMGKi&#10;kCUXqxS/f5d7U4y0oaKkjRQsxXdM48vZ82cXfZewSNayKZlCACJ00ncpro3pEt/XRc1aqs9kxwQY&#10;K6laamCrVn6paA/obeNHQTD2e6nKTsmCaQ2n2WDEM4dfVawwb6pKM4OaFENuxv2V+y/t359d0GSl&#10;aFfzYpcG/YssWsoFBD1AZdRQtFb8CVTLCyW1rMxZIVtfVhUvmKsBqgmDR9Xc1rRjrhZoju4ObdL/&#10;D7Z4vXmrEC9TTDAStAWK7r9/u//x6/7nVxTZ9vSdTsDrtgM/s72WW6DZlaq7G1l80EjIeU3Fil0p&#10;Jfua0RLSC+1N/+TqgKMtyLJ/JUuIQ9dGOqBtpVrbO+gGAnSg6e5ADdsaVMDhaBJE52ApwBRN49HY&#10;UefTZH+5U9q8YLJFdpFiBcw7cLq50cYmQ5O9i40lZM6bxrHfiAcH4DicQGi4am02CUfm5ziIF9PF&#10;lHgkGi88EmSZd5XPiTfOw8koO8/m8yz8YuOGJKl5WTJhw+yFFZI/I24n8UESB2lp2fDSwtmUtFot&#10;541CGwrCzt3nWg6Wo5v/MA3XBKjlUUlhRILrKPby8XTikZyMvHgSTL0gjK/jcUBikuUPS7rhgv17&#10;SahPcTyKRoOWjkk/qi1w39PaaNJyA6Oj4W2KpwcnmlgFLkTpqDWUN8P6pBU2/WMrgO490U6vVqKD&#10;WM12uQUUK+KlLO9AuUqCskCEMO9gUUv1CaMeZkeK9cc1VQyj5qUA9cchIXbYuA0ZTSLYqFPL8tRC&#10;RQFQKTYYDcu5GQbUulN8VUOk/Xu7gheTc6fmY1a7dwbzwRW1m2V2AJ3unddx4s5+AwAA//8DAFBL&#10;AwQUAAYACAAAACEAC3Hbod4AAAAJAQAADwAAAGRycy9kb3ducmV2LnhtbEyPTU/DMAyG70j8h8hI&#10;3FjSDW20azpNaBtHYFQ7Z41pK5oPJVlX/j3mBCfb8qPXj8vNZAY2Yoi9sxKymQCGtnG6t62E+mP/&#10;8AQsJmW1GpxFCd8YYVPd3pSq0O5q33E8ppZRiI2FktCl5AvOY9OhUXHmPFrafbpgVKIxtFwHdaVw&#10;M/C5EEtuVG/pQqc8PnfYfB0vRoJP/rB6Ca9v291+FPXpUM/7difl/d20XQNLOKU/GH71SR0qcjq7&#10;i9WRDRKWWb4gVMLikSoBK5FnwM7U5DnwquT/P6h+AAAA//8DAFBLAQItABQABgAIAAAAIQC2gziS&#10;/gAAAOEBAAATAAAAAAAAAAAAAAAAAAAAAABbQ29udGVudF9UeXBlc10ueG1sUEsBAi0AFAAGAAgA&#10;AAAhADj9If/WAAAAlAEAAAsAAAAAAAAAAAAAAAAALwEAAF9yZWxzLy5yZWxzUEsBAi0AFAAGAAgA&#10;AAAhAJ7SW3HDAgAAuQUAAA4AAAAAAAAAAAAAAAAALgIAAGRycy9lMm9Eb2MueG1sUEsBAi0AFAAG&#10;AAgAAAAhAAtx26HeAAAACQEAAA8AAAAAAAAAAAAAAAAAHQUAAGRycy9kb3ducmV2LnhtbFBLBQYA&#10;AAAABAAEAPMAAAAoBgAAAAA=&#10;">
            <v:path/>
            <v:fill on="f" focussize="0,0"/>
            <v:stroke on="f" joinstyle="miter"/>
            <v:imagedata o:title=""/>
            <o:lock v:ext="edit"/>
            <v:textbox style="mso-fit-shape-to-text:t;">
              <w:txbxContent>
                <w:p>
                  <w:r>
                    <w:t>4</w:t>
                  </w:r>
                </w:p>
              </w:txbxContent>
            </v:textbox>
            <w10:wrap type="square"/>
          </v:shape>
        </w:pict>
      </w:r>
      <w:r>
        <w:rPr>
          <w:rFonts w:hint="eastAsia" w:ascii="黑体" w:hAnsi="黑体" w:eastAsia="黑体" w:cs="黑体"/>
          <w:color w:val="000000" w:themeColor="text1"/>
          <w:sz w:val="28"/>
          <w:szCs w:val="28"/>
        </w:rPr>
        <w:t>导丝结构示例图3</w:t>
      </w:r>
    </w:p>
    <w:p>
      <w:pPr>
        <w:spacing w:line="520" w:lineRule="exact"/>
        <w:rPr>
          <w:rFonts w:ascii="仿宋" w:hAnsi="仿宋" w:eastAsia="仿宋"/>
          <w:color w:val="000000" w:themeColor="text1"/>
          <w:sz w:val="28"/>
          <w:szCs w:val="28"/>
        </w:rPr>
      </w:pPr>
      <w:r>
        <w:rPr>
          <w:rFonts w:ascii="仿宋" w:hAnsi="仿宋" w:eastAsia="仿宋"/>
          <w:color w:val="000000" w:themeColor="text1"/>
          <w:sz w:val="28"/>
          <w:szCs w:val="28"/>
        </w:rPr>
        <w:pict>
          <v:shape id="AutoShape 4" o:spid="_x0000_s1027" o:spt="32" type="#_x0000_t32" style="position:absolute;left:0pt;flip:x;margin-left:297pt;margin-top:8.5pt;height:22.5pt;width:24.75pt;z-index:25166336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JHlPgIAAGsEAAAOAAAAZHJzL2Uyb0RvYy54bWysVFFv2yAQfp+0/4B4T2wnTptYcarKTraH&#10;rovU7gcQwDEaBgQkTjTtv+/Aabp2L9M0P+DD3H333d2Hl3enTqIjt05oVeJsnGLEFdVMqH2Jvz1v&#10;RnOMnCeKEakVL/GZO3y3+vhh2ZuCT3SrJeMWAYhyRW9K3HpviiRxtOUdcWNtuILDRtuOeNjafcIs&#10;6QG9k8kkTW+SXltmrKbcOfhaD4d4FfGbhlP/tWkc90iWGLj5uNq47sKarJak2FtiWkEvNMg/sOiI&#10;UJD0ClUTT9DBij+gOkGtdrrxY6q7RDeNoDzWANVk6btqnlpieKwFmuPMtU3u/8HSx+PWIsFKPMVI&#10;kQ5GdH/wOmZGeWhPb1wBXpXa2lAgPakn86Dpd4eUrlqi9jw6P58NxGYhInkTEjbOQJJd/0Uz8CGA&#10;H3t1amyHGinM5xAYwKEf6BSHc74Oh588ovBxmuXTyQwjCkeT+ex2FoeXkCLAhGBjnf/EdYeCUWLn&#10;LRH71ldaKZCBtkMKcnxwPpB8DQjBSm+ElFENUqG+xIsZJAsnTkvBwmHc2P2ukhYdSdBTfGLF79ys&#10;PigWwVpO2PpieyIk2MjHVnkroHmS45Ct4wwjyeEKBWugJ1XICOUD4Ys1SOrHIl2s5+t5PsonN+tR&#10;ntb16H5T5aObTXY7q6d1VdXZz0A+y4tWMMZV4P8i7yz/O/lcLtogzKvAr41K3qLHjgLZl3ckHZUQ&#10;hj/IaKfZeWtDdUEUoOjofLl94cr8vo9er/+I1S8AAAD//wMAUEsDBBQABgAIAAAAIQDh3p3t4AAA&#10;AAkBAAAPAAAAZHJzL2Rvd25yZXYueG1sTI9BT8MwDIXvSPyHyEhcEEsp6xil6TQBYyc0UcY9a0xb&#10;rXGqJtvafz9zYifbek/P38sWg23FEXvfOFLwMIlAIJXONFQp2H6v7ucgfNBkdOsIFYzoYZFfX2U6&#10;Ne5EX3gsQiU4hHyqFdQhdKmUvqzRaj9xHRJrv663OvDZV9L0+sThtpVxFM2k1Q3xh1p3+FpjuS8O&#10;VsFbsUlWP3fbIR7L9WfxMd9vaHxX6vZmWL6ACDiEfzP84TM65My0cwcyXrQKkucpdwksPPFkw2z6&#10;mIDY8RJHIPNMXjbIzwAAAP//AwBQSwECLQAUAAYACAAAACEAtoM4kv4AAADhAQAAEwAAAAAAAAAA&#10;AAAAAAAAAAAAW0NvbnRlbnRfVHlwZXNdLnhtbFBLAQItABQABgAIAAAAIQA4/SH/1gAAAJQBAAAL&#10;AAAAAAAAAAAAAAAAAC8BAABfcmVscy8ucmVsc1BLAQItABQABgAIAAAAIQB1MJHlPgIAAGsEAAAO&#10;AAAAAAAAAAAAAAAAAC4CAABkcnMvZTJvRG9jLnhtbFBLAQItABQABgAIAAAAIQDh3p3t4AAAAAkB&#10;AAAPAAAAAAAAAAAAAAAAAJgEAABkcnMvZG93bnJldi54bWxQSwUGAAAAAAQABADzAAAApQUAAAAA&#10;">
            <v:path arrowok="t"/>
            <v:fill on="f" focussize="0,0"/>
            <v:stroke endarrow="block"/>
            <v:imagedata o:title=""/>
            <o:lock v:ext="edit"/>
          </v:shape>
        </w:pict>
      </w:r>
    </w:p>
    <w:p>
      <w:pPr>
        <w:spacing w:line="520" w:lineRule="exact"/>
        <w:ind w:firstLine="560" w:firstLineChars="200"/>
        <w:rPr>
          <w:rFonts w:ascii="仿宋" w:hAnsi="仿宋" w:eastAsia="仿宋"/>
          <w:color w:val="000000" w:themeColor="text1"/>
          <w:sz w:val="28"/>
          <w:szCs w:val="28"/>
        </w:rPr>
      </w:pPr>
    </w:p>
    <w:p>
      <w:pPr>
        <w:spacing w:line="520" w:lineRule="exact"/>
        <w:ind w:firstLine="560" w:firstLineChars="200"/>
        <w:rPr>
          <w:rFonts w:ascii="仿宋" w:hAnsi="仿宋" w:eastAsia="仿宋"/>
          <w:color w:val="000000" w:themeColor="text1"/>
          <w:sz w:val="28"/>
          <w:szCs w:val="28"/>
        </w:rPr>
      </w:pPr>
    </w:p>
    <w:p>
      <w:pPr>
        <w:spacing w:line="520" w:lineRule="exact"/>
        <w:ind w:firstLine="560" w:firstLineChars="200"/>
        <w:rPr>
          <w:rFonts w:ascii="仿宋" w:hAnsi="仿宋" w:eastAsia="仿宋"/>
          <w:color w:val="000000" w:themeColor="text1"/>
          <w:sz w:val="28"/>
          <w:szCs w:val="28"/>
        </w:rPr>
      </w:pPr>
    </w:p>
    <w:p>
      <w:pPr>
        <w:spacing w:line="520" w:lineRule="exact"/>
        <w:ind w:firstLine="560" w:firstLineChars="200"/>
        <w:rPr>
          <w:rFonts w:ascii="仿宋" w:hAnsi="仿宋" w:eastAsia="仿宋"/>
          <w:color w:val="000000" w:themeColor="text1"/>
          <w:sz w:val="28"/>
          <w:szCs w:val="28"/>
        </w:rPr>
      </w:pPr>
    </w:p>
    <w:p>
      <w:pPr>
        <w:spacing w:line="520" w:lineRule="exact"/>
        <w:ind w:firstLine="3360" w:firstLineChars="1200"/>
        <w:rPr>
          <w:rFonts w:ascii="仿宋" w:hAnsi="仿宋" w:eastAsia="仿宋"/>
          <w:color w:val="000000" w:themeColor="text1"/>
          <w:sz w:val="28"/>
          <w:szCs w:val="28"/>
        </w:rPr>
      </w:pPr>
      <w:bookmarkStart w:id="1" w:name="_Hlk86161126"/>
      <w:r>
        <w:rPr>
          <w:rFonts w:hint="eastAsia" w:ascii="仿宋" w:hAnsi="仿宋" w:eastAsia="仿宋"/>
          <w:color w:val="000000" w:themeColor="text1"/>
          <w:sz w:val="28"/>
          <w:szCs w:val="28"/>
        </w:rPr>
        <w:t>1-芯丝 2-绕丝</w:t>
      </w:r>
      <w:r>
        <w:rPr>
          <w:rFonts w:ascii="仿宋" w:hAnsi="仿宋" w:eastAsia="仿宋"/>
          <w:color w:val="000000" w:themeColor="text1"/>
          <w:sz w:val="28"/>
          <w:szCs w:val="28"/>
        </w:rPr>
        <w:t>4-</w:t>
      </w:r>
      <w:r>
        <w:rPr>
          <w:rFonts w:hint="eastAsia" w:ascii="仿宋" w:hAnsi="仿宋" w:eastAsia="仿宋"/>
          <w:color w:val="000000" w:themeColor="text1"/>
          <w:sz w:val="28"/>
          <w:szCs w:val="28"/>
        </w:rPr>
        <w:t>涂层</w:t>
      </w:r>
    </w:p>
    <w:p>
      <w:pPr>
        <w:spacing w:line="520" w:lineRule="exact"/>
        <w:jc w:val="center"/>
        <w:rPr>
          <w:rFonts w:ascii="仿宋" w:hAnsi="仿宋" w:eastAsia="仿宋"/>
          <w:color w:val="000000" w:themeColor="text1"/>
          <w:sz w:val="28"/>
          <w:szCs w:val="28"/>
        </w:rPr>
      </w:pPr>
      <w:r>
        <w:rPr>
          <w:rFonts w:hint="eastAsia" w:ascii="黑体" w:hAnsi="黑体" w:eastAsia="黑体" w:cs="黑体"/>
          <w:color w:val="000000" w:themeColor="text1"/>
          <w:sz w:val="28"/>
          <w:szCs w:val="28"/>
        </w:rPr>
        <w:t>导丝结构示例图4</w:t>
      </w:r>
    </w:p>
    <w:bookmarkEnd w:id="1"/>
    <w:p>
      <w:pPr>
        <w:spacing w:line="520" w:lineRule="exact"/>
        <w:rPr>
          <w:rFonts w:ascii="仿宋" w:hAnsi="仿宋" w:eastAsia="仿宋"/>
          <w:color w:val="000000" w:themeColor="text1"/>
          <w:sz w:val="28"/>
          <w:szCs w:val="28"/>
        </w:rPr>
      </w:pPr>
      <w:r>
        <w:rPr>
          <w:rFonts w:hint="eastAsia" w:ascii="仿宋" w:hAnsi="仿宋" w:eastAsia="仿宋"/>
          <w:color w:val="000000" w:themeColor="text1"/>
          <w:sz w:val="28"/>
          <w:szCs w:val="28"/>
        </w:rPr>
        <w:drawing>
          <wp:anchor distT="0" distB="0" distL="114300" distR="114300" simplePos="0" relativeHeight="251649024" behindDoc="0" locked="0" layoutInCell="1" allowOverlap="1">
            <wp:simplePos x="0" y="0"/>
            <wp:positionH relativeFrom="column">
              <wp:posOffset>518160</wp:posOffset>
            </wp:positionH>
            <wp:positionV relativeFrom="paragraph">
              <wp:posOffset>176530</wp:posOffset>
            </wp:positionV>
            <wp:extent cx="4519930" cy="1022985"/>
            <wp:effectExtent l="0" t="0" r="0" b="0"/>
            <wp:wrapSquare wrapText="bothSides"/>
            <wp:docPr id="12" name="图片 12" descr="微信图片_2020102215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010221500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519930" cy="1022985"/>
                    </a:xfrm>
                    <a:prstGeom prst="rect">
                      <a:avLst/>
                    </a:prstGeom>
                    <a:noFill/>
                    <a:ln>
                      <a:noFill/>
                    </a:ln>
                  </pic:spPr>
                </pic:pic>
              </a:graphicData>
            </a:graphic>
          </wp:anchor>
        </w:drawing>
      </w: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b/>
          <w:bCs/>
          <w:color w:val="000000" w:themeColor="text1"/>
          <w:sz w:val="28"/>
          <w:szCs w:val="28"/>
        </w:rPr>
      </w:pPr>
    </w:p>
    <w:p>
      <w:pPr>
        <w:pStyle w:val="18"/>
        <w:numPr>
          <w:ilvl w:val="0"/>
          <w:numId w:val="3"/>
        </w:numPr>
        <w:spacing w:line="520" w:lineRule="exact"/>
        <w:ind w:firstLineChars="0"/>
        <w:jc w:val="center"/>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芯丝  2-绕丝 </w:t>
      </w:r>
      <w:bookmarkStart w:id="2" w:name="_Hlk86161153"/>
      <w:r>
        <w:rPr>
          <w:rFonts w:hint="eastAsia" w:ascii="仿宋" w:hAnsi="仿宋" w:eastAsia="仿宋"/>
          <w:color w:val="000000" w:themeColor="text1"/>
          <w:sz w:val="28"/>
          <w:szCs w:val="28"/>
        </w:rPr>
        <w:t>3-聚合物护套</w:t>
      </w:r>
      <w:bookmarkEnd w:id="2"/>
    </w:p>
    <w:p>
      <w:pPr>
        <w:spacing w:line="520" w:lineRule="exact"/>
        <w:jc w:val="center"/>
        <w:rPr>
          <w:rFonts w:ascii="黑体" w:hAnsi="黑体" w:eastAsia="黑体" w:cs="黑体"/>
          <w:color w:val="000000" w:themeColor="text1"/>
          <w:sz w:val="28"/>
          <w:szCs w:val="28"/>
        </w:rPr>
      </w:pPr>
      <w:r>
        <w:rPr>
          <w:rFonts w:ascii="仿宋" w:hAnsi="仿宋" w:eastAsia="仿宋"/>
          <w:color w:val="000000" w:themeColor="text1"/>
          <w:sz w:val="28"/>
          <w:szCs w:val="28"/>
        </w:rPr>
        <w:drawing>
          <wp:anchor distT="45720" distB="45720" distL="114300" distR="114300" simplePos="0" relativeHeight="251660288" behindDoc="0" locked="0" layoutInCell="1" allowOverlap="1">
            <wp:simplePos x="0" y="0"/>
            <wp:positionH relativeFrom="column">
              <wp:posOffset>125095</wp:posOffset>
            </wp:positionH>
            <wp:positionV relativeFrom="paragraph">
              <wp:posOffset>617855</wp:posOffset>
            </wp:positionV>
            <wp:extent cx="5309870" cy="1172845"/>
            <wp:effectExtent l="0" t="0" r="0" b="0"/>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309870" cy="1172845"/>
                    </a:xfrm>
                    <a:prstGeom prst="rect">
                      <a:avLst/>
                    </a:prstGeom>
                    <a:noFill/>
                    <a:ln>
                      <a:noFill/>
                    </a:ln>
                  </pic:spPr>
                </pic:pic>
              </a:graphicData>
            </a:graphic>
          </wp:anchor>
        </w:drawing>
      </w:r>
      <w:r>
        <w:rPr>
          <w:rFonts w:hint="eastAsia" w:ascii="黑体" w:hAnsi="黑体" w:eastAsia="黑体" w:cs="黑体"/>
          <w:color w:val="000000" w:themeColor="text1"/>
          <w:sz w:val="28"/>
          <w:szCs w:val="28"/>
        </w:rPr>
        <w:t>导丝结构示例图</w:t>
      </w:r>
      <w:r>
        <w:rPr>
          <w:rFonts w:ascii="黑体" w:hAnsi="黑体" w:eastAsia="黑体" w:cs="黑体"/>
          <w:color w:val="000000" w:themeColor="text1"/>
          <w:sz w:val="28"/>
          <w:szCs w:val="28"/>
        </w:rPr>
        <w:t>5</w:t>
      </w:r>
    </w:p>
    <w:p>
      <w:pPr>
        <w:spacing w:line="520" w:lineRule="exact"/>
        <w:ind w:firstLine="2408" w:firstLineChars="860"/>
        <w:rPr>
          <w:rFonts w:ascii="仿宋" w:hAnsi="仿宋" w:eastAsia="仿宋"/>
          <w:color w:val="000000" w:themeColor="text1"/>
          <w:sz w:val="28"/>
          <w:szCs w:val="28"/>
        </w:rPr>
      </w:pPr>
      <w:bookmarkStart w:id="3" w:name="_Hlk86164524"/>
      <w:r>
        <w:rPr>
          <w:rFonts w:hint="eastAsia" w:ascii="仿宋" w:hAnsi="仿宋" w:eastAsia="仿宋"/>
          <w:color w:val="000000" w:themeColor="text1"/>
          <w:sz w:val="28"/>
          <w:szCs w:val="28"/>
        </w:rPr>
        <w:t xml:space="preserve">1-芯丝 3-聚合物护套 </w:t>
      </w:r>
      <w:r>
        <w:rPr>
          <w:rFonts w:ascii="仿宋" w:hAnsi="仿宋" w:eastAsia="仿宋"/>
          <w:color w:val="000000" w:themeColor="text1"/>
          <w:sz w:val="28"/>
          <w:szCs w:val="28"/>
        </w:rPr>
        <w:t>5-</w:t>
      </w:r>
      <w:r>
        <w:rPr>
          <w:rFonts w:hint="eastAsia" w:ascii="仿宋" w:hAnsi="仿宋" w:eastAsia="仿宋"/>
          <w:color w:val="000000" w:themeColor="text1"/>
          <w:sz w:val="28"/>
          <w:szCs w:val="28"/>
        </w:rPr>
        <w:t>球形头端</w:t>
      </w:r>
    </w:p>
    <w:p>
      <w:pPr>
        <w:spacing w:line="520" w:lineRule="exact"/>
        <w:jc w:val="center"/>
        <w:rPr>
          <w:rFonts w:ascii="仿宋" w:hAnsi="仿宋" w:eastAsia="仿宋"/>
          <w:color w:val="000000" w:themeColor="text1"/>
          <w:sz w:val="28"/>
          <w:szCs w:val="28"/>
        </w:rPr>
      </w:pPr>
      <w:r>
        <w:rPr>
          <w:rFonts w:hint="eastAsia" w:ascii="黑体" w:hAnsi="黑体" w:eastAsia="黑体" w:cs="黑体"/>
          <w:color w:val="000000" w:themeColor="text1"/>
          <w:sz w:val="28"/>
          <w:szCs w:val="28"/>
        </w:rPr>
        <w:t>导丝结构示例图</w:t>
      </w:r>
      <w:r>
        <w:rPr>
          <w:rFonts w:ascii="黑体" w:hAnsi="黑体" w:eastAsia="黑体" w:cs="黑体"/>
          <w:color w:val="000000" w:themeColor="text1"/>
          <w:sz w:val="28"/>
          <w:szCs w:val="28"/>
        </w:rPr>
        <w:t>6</w:t>
      </w:r>
    </w:p>
    <w:bookmarkEnd w:id="3"/>
    <w:p>
      <w:pPr>
        <w:spacing w:line="520" w:lineRule="exact"/>
        <w:jc w:val="center"/>
        <w:rPr>
          <w:rFonts w:ascii="仿宋" w:hAnsi="仿宋" w:eastAsia="仿宋"/>
          <w:color w:val="000000" w:themeColor="text1"/>
          <w:sz w:val="28"/>
          <w:szCs w:val="28"/>
        </w:rPr>
      </w:pPr>
    </w:p>
    <w:p>
      <w:pPr>
        <w:spacing w:line="520" w:lineRule="exact"/>
        <w:jc w:val="center"/>
        <w:rPr>
          <w:rFonts w:ascii="仿宋" w:hAnsi="仿宋" w:eastAsia="仿宋"/>
          <w:color w:val="000000" w:themeColor="text1"/>
          <w:sz w:val="28"/>
          <w:szCs w:val="28"/>
        </w:rPr>
      </w:pPr>
      <w:r>
        <w:rPr>
          <w:rFonts w:ascii="仿宋" w:hAnsi="仿宋" w:eastAsia="仿宋"/>
          <w:color w:val="000000" w:themeColor="text1"/>
          <w:sz w:val="28"/>
          <w:szCs w:val="28"/>
        </w:rPr>
        <w:drawing>
          <wp:anchor distT="45720" distB="45720" distL="114300" distR="114300" simplePos="0" relativeHeight="251663360" behindDoc="0" locked="0" layoutInCell="1" allowOverlap="1">
            <wp:simplePos x="0" y="0"/>
            <wp:positionH relativeFrom="column">
              <wp:posOffset>3175</wp:posOffset>
            </wp:positionH>
            <wp:positionV relativeFrom="paragraph">
              <wp:posOffset>219075</wp:posOffset>
            </wp:positionV>
            <wp:extent cx="5273675" cy="1023620"/>
            <wp:effectExtent l="0" t="0" r="0" b="0"/>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3675" cy="1023620"/>
                    </a:xfrm>
                    <a:prstGeom prst="rect">
                      <a:avLst/>
                    </a:prstGeom>
                    <a:noFill/>
                    <a:ln>
                      <a:noFill/>
                    </a:ln>
                  </pic:spPr>
                </pic:pic>
              </a:graphicData>
            </a:graphic>
          </wp:anchor>
        </w:drawing>
      </w:r>
      <w:r>
        <w:rPr>
          <w:rFonts w:hint="eastAsia" w:ascii="仿宋" w:hAnsi="仿宋" w:eastAsia="仿宋"/>
          <w:color w:val="000000" w:themeColor="text1"/>
          <w:sz w:val="28"/>
          <w:szCs w:val="28"/>
        </w:rPr>
        <w:t xml:space="preserve">1-芯丝 3-聚合物护套 </w:t>
      </w:r>
      <w:r>
        <w:rPr>
          <w:rFonts w:ascii="仿宋" w:hAnsi="仿宋" w:eastAsia="仿宋"/>
          <w:color w:val="000000" w:themeColor="text1"/>
          <w:sz w:val="28"/>
          <w:szCs w:val="28"/>
        </w:rPr>
        <w:t>6-</w:t>
      </w:r>
      <w:r>
        <w:rPr>
          <w:rFonts w:hint="eastAsia" w:ascii="仿宋" w:hAnsi="仿宋" w:eastAsia="仿宋"/>
          <w:color w:val="000000" w:themeColor="text1"/>
          <w:sz w:val="28"/>
          <w:szCs w:val="28"/>
        </w:rPr>
        <w:t>头端弯曲</w:t>
      </w:r>
    </w:p>
    <w:p>
      <w:pPr>
        <w:spacing w:line="520" w:lineRule="exact"/>
        <w:jc w:val="center"/>
        <w:rPr>
          <w:rFonts w:ascii="黑体" w:hAnsi="黑体" w:eastAsia="黑体" w:cs="黑体"/>
          <w:color w:val="000000" w:themeColor="text1"/>
          <w:sz w:val="28"/>
          <w:szCs w:val="28"/>
        </w:rPr>
      </w:pPr>
      <w:r>
        <w:rPr>
          <w:rFonts w:ascii="仿宋" w:hAnsi="仿宋" w:eastAsia="仿宋"/>
          <w:color w:val="000000" w:themeColor="text1"/>
          <w:sz w:val="28"/>
          <w:szCs w:val="28"/>
        </w:rPr>
        <w:drawing>
          <wp:anchor distT="0" distB="0" distL="114300" distR="114300" simplePos="0" relativeHeight="251669504" behindDoc="0" locked="0" layoutInCell="1" allowOverlap="1">
            <wp:simplePos x="0" y="0"/>
            <wp:positionH relativeFrom="column">
              <wp:posOffset>-139700</wp:posOffset>
            </wp:positionH>
            <wp:positionV relativeFrom="paragraph">
              <wp:posOffset>386080</wp:posOffset>
            </wp:positionV>
            <wp:extent cx="5534660" cy="158115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534660" cy="1581150"/>
                    </a:xfrm>
                    <a:prstGeom prst="rect">
                      <a:avLst/>
                    </a:prstGeom>
                    <a:noFill/>
                    <a:ln>
                      <a:noFill/>
                    </a:ln>
                  </pic:spPr>
                </pic:pic>
              </a:graphicData>
            </a:graphic>
          </wp:anchor>
        </w:drawing>
      </w:r>
      <w:r>
        <w:rPr>
          <w:color w:val="000000" w:themeColor="text1"/>
        </w:rPr>
        <w:drawing>
          <wp:anchor distT="0" distB="0" distL="114300" distR="114300" simplePos="0" relativeHeight="251666432" behindDoc="0" locked="0" layoutInCell="1" allowOverlap="1">
            <wp:simplePos x="0" y="0"/>
            <wp:positionH relativeFrom="column">
              <wp:posOffset>417195</wp:posOffset>
            </wp:positionH>
            <wp:positionV relativeFrom="paragraph">
              <wp:posOffset>386080</wp:posOffset>
            </wp:positionV>
            <wp:extent cx="4181475" cy="136207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181475" cy="1362075"/>
                    </a:xfrm>
                    <a:prstGeom prst="rect">
                      <a:avLst/>
                    </a:prstGeom>
                  </pic:spPr>
                </pic:pic>
              </a:graphicData>
            </a:graphic>
          </wp:anchor>
        </w:drawing>
      </w:r>
      <w:r>
        <w:rPr>
          <w:rFonts w:hint="eastAsia" w:ascii="黑体" w:hAnsi="黑体" w:eastAsia="黑体" w:cs="黑体"/>
          <w:color w:val="000000" w:themeColor="text1"/>
          <w:sz w:val="28"/>
          <w:szCs w:val="28"/>
        </w:rPr>
        <w:t>导丝结构示例图</w:t>
      </w:r>
      <w:r>
        <w:rPr>
          <w:rFonts w:ascii="黑体" w:hAnsi="黑体" w:eastAsia="黑体" w:cs="黑体"/>
          <w:color w:val="000000" w:themeColor="text1"/>
          <w:sz w:val="28"/>
          <w:szCs w:val="28"/>
        </w:rPr>
        <w:t>7</w:t>
      </w:r>
    </w:p>
    <w:p>
      <w:pPr>
        <w:spacing w:line="520" w:lineRule="exact"/>
        <w:ind w:firstLine="2408" w:firstLineChars="860"/>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1-芯丝 </w:t>
      </w:r>
      <w:r>
        <w:rPr>
          <w:rFonts w:ascii="仿宋" w:hAnsi="仿宋" w:eastAsia="仿宋"/>
          <w:color w:val="000000" w:themeColor="text1"/>
          <w:sz w:val="28"/>
          <w:szCs w:val="28"/>
        </w:rPr>
        <w:t>2</w:t>
      </w:r>
      <w:r>
        <w:rPr>
          <w:rFonts w:hint="eastAsia" w:ascii="仿宋" w:hAnsi="仿宋" w:eastAsia="仿宋"/>
          <w:color w:val="000000" w:themeColor="text1"/>
          <w:sz w:val="28"/>
          <w:szCs w:val="28"/>
        </w:rPr>
        <w:t xml:space="preserve">-绕丝 </w:t>
      </w:r>
      <w:r>
        <w:rPr>
          <w:rFonts w:ascii="仿宋" w:hAnsi="仿宋" w:eastAsia="仿宋"/>
          <w:color w:val="000000" w:themeColor="text1"/>
          <w:sz w:val="28"/>
          <w:szCs w:val="28"/>
        </w:rPr>
        <w:t>4-</w:t>
      </w:r>
      <w:r>
        <w:rPr>
          <w:rFonts w:hint="eastAsia" w:ascii="仿宋" w:hAnsi="仿宋" w:eastAsia="仿宋"/>
          <w:color w:val="000000" w:themeColor="text1"/>
          <w:sz w:val="28"/>
          <w:szCs w:val="28"/>
        </w:rPr>
        <w:t xml:space="preserve">涂层 </w:t>
      </w:r>
      <w:r>
        <w:rPr>
          <w:rFonts w:ascii="仿宋" w:hAnsi="仿宋" w:eastAsia="仿宋"/>
          <w:color w:val="000000" w:themeColor="text1"/>
          <w:sz w:val="28"/>
          <w:szCs w:val="28"/>
        </w:rPr>
        <w:t>7-</w:t>
      </w:r>
      <w:r>
        <w:rPr>
          <w:rFonts w:hint="eastAsia" w:ascii="仿宋" w:hAnsi="仿宋" w:eastAsia="仿宋"/>
          <w:color w:val="000000" w:themeColor="text1"/>
          <w:sz w:val="28"/>
          <w:szCs w:val="28"/>
        </w:rPr>
        <w:t>安全丝</w:t>
      </w:r>
    </w:p>
    <w:p>
      <w:pPr>
        <w:spacing w:line="520" w:lineRule="exact"/>
        <w:jc w:val="center"/>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导丝结构示例图8</w:t>
      </w:r>
      <w:r>
        <w:rPr>
          <w:rFonts w:ascii="黑体" w:hAnsi="黑体" w:eastAsia="黑体" w:cs="黑体"/>
          <w:color w:val="000000" w:themeColor="text1"/>
          <w:sz w:val="28"/>
          <w:szCs w:val="28"/>
        </w:rPr>
        <w:t>-</w:t>
      </w:r>
      <w:r>
        <w:rPr>
          <w:rFonts w:hint="eastAsia" w:ascii="黑体" w:hAnsi="黑体" w:eastAsia="黑体" w:cs="黑体"/>
          <w:color w:val="000000" w:themeColor="text1"/>
          <w:sz w:val="28"/>
          <w:szCs w:val="28"/>
        </w:rPr>
        <w:t>带安全丝的导丝</w:t>
      </w:r>
    </w:p>
    <w:p>
      <w:pPr>
        <w:spacing w:line="480" w:lineRule="auto"/>
        <w:rPr>
          <w:rFonts w:ascii="楷体_GB2312" w:hAnsi="楷体" w:eastAsia="楷体_GB2312"/>
          <w:color w:val="000000" w:themeColor="text1"/>
          <w:sz w:val="32"/>
          <w:szCs w:val="32"/>
        </w:rPr>
      </w:pPr>
      <w:r>
        <w:rPr>
          <w:rFonts w:hint="eastAsia" w:ascii="楷体_GB2312" w:hAnsi="楷体" w:eastAsia="楷体_GB2312"/>
          <w:color w:val="000000" w:themeColor="text1"/>
          <w:sz w:val="32"/>
          <w:szCs w:val="32"/>
        </w:rPr>
        <w:t>（三）产品工作原理</w:t>
      </w:r>
    </w:p>
    <w:p>
      <w:pPr>
        <w:tabs>
          <w:tab w:val="left" w:pos="8040"/>
        </w:tabs>
        <w:spacing w:line="520" w:lineRule="exact"/>
        <w:ind w:firstLine="640" w:firstLineChars="200"/>
        <w:jc w:val="left"/>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产品适用于非血管腔道介入诊疗的一次性使用导引器械，在泌尿外科应用（输尿管镜检查术、输尿管支架植入术、输尿管导管插入、经皮肾穿刺、耻骨上导尿管的插入或更换等）中，利用导丝的可操控性、支撑性等特点，通常借助内窥镜，用作各种腔内泌尿器械和导管（比如，输尿管肾盂镜、输尿管导管、输尿管支架管、肾造瘘导管和耻骨上导尿管等）进入人体泌尿系腔道或组织的引导器械。</w:t>
      </w:r>
    </w:p>
    <w:p>
      <w:pPr>
        <w:spacing w:line="520" w:lineRule="exact"/>
        <w:ind w:firstLine="640" w:firstLineChars="200"/>
        <w:rPr>
          <w:rFonts w:ascii="楷体_GB2312" w:hAnsi="楷体" w:eastAsia="楷体_GB2312"/>
          <w:color w:val="000000" w:themeColor="text1"/>
          <w:sz w:val="32"/>
          <w:szCs w:val="32"/>
        </w:rPr>
      </w:pPr>
      <w:r>
        <w:rPr>
          <w:rFonts w:hint="eastAsia" w:ascii="楷体_GB2312" w:hAnsi="楷体" w:eastAsia="楷体_GB2312"/>
          <w:color w:val="000000" w:themeColor="text1"/>
          <w:sz w:val="32"/>
          <w:szCs w:val="32"/>
        </w:rPr>
        <w:t>（四）注册单元划分的原则和实例</w:t>
      </w:r>
    </w:p>
    <w:p>
      <w:pPr>
        <w:tabs>
          <w:tab w:val="left" w:pos="8040"/>
        </w:tabs>
        <w:spacing w:line="520" w:lineRule="exact"/>
        <w:ind w:firstLine="480" w:firstLineChars="150"/>
        <w:jc w:val="left"/>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产品注册单元划分应依据《医疗器械注册单元划分指导原则》（原国家食品药品监督管理总局通告2017年第187号）。产品使用方式、作用部位不同而导致适用范围不同时，原则上划分为不同的注册单元。</w:t>
      </w:r>
      <w:r>
        <w:rPr>
          <w:rFonts w:hint="eastAsia" w:ascii="仿宋_GB2312" w:hAnsi="仿宋" w:eastAsia="仿宋_GB2312"/>
          <w:color w:val="000000" w:themeColor="text1"/>
          <w:sz w:val="32"/>
          <w:szCs w:val="32"/>
          <w:lang w:val="en-US" w:eastAsia="zh-CN"/>
        </w:rPr>
        <w:t>使用不同主体原材料的产品应划分为不同的注册单元。</w:t>
      </w:r>
    </w:p>
    <w:p>
      <w:pPr>
        <w:tabs>
          <w:tab w:val="left" w:pos="8040"/>
        </w:tabs>
        <w:spacing w:line="520" w:lineRule="exact"/>
        <w:ind w:firstLine="720" w:firstLineChars="225"/>
        <w:jc w:val="left"/>
        <w:rPr>
          <w:rFonts w:ascii="楷体_GB2312" w:hAnsi="楷体" w:eastAsia="楷体_GB2312"/>
          <w:color w:val="000000" w:themeColor="text1"/>
          <w:sz w:val="32"/>
          <w:szCs w:val="32"/>
        </w:rPr>
      </w:pPr>
      <w:r>
        <w:rPr>
          <w:rFonts w:hint="eastAsia" w:ascii="楷体_GB2312" w:hAnsi="楷体" w:eastAsia="楷体_GB2312"/>
          <w:color w:val="000000" w:themeColor="text1"/>
          <w:sz w:val="32"/>
          <w:szCs w:val="32"/>
        </w:rPr>
        <w:t>（五）产品适用的相关标准</w:t>
      </w:r>
    </w:p>
    <w:p>
      <w:pPr>
        <w:spacing w:line="520" w:lineRule="exact"/>
        <w:jc w:val="center"/>
        <w:rPr>
          <w:rFonts w:ascii="仿宋_GB2312" w:hAnsi="仿宋" w:eastAsia="仿宋_GB2312"/>
          <w:bCs/>
          <w:color w:val="000000" w:themeColor="text1"/>
          <w:sz w:val="32"/>
          <w:szCs w:val="32"/>
        </w:rPr>
      </w:pPr>
      <w:r>
        <w:rPr>
          <w:rFonts w:hint="eastAsia" w:ascii="仿宋_GB2312" w:hAnsi="仿宋" w:eastAsia="仿宋_GB2312"/>
          <w:bCs/>
          <w:color w:val="000000" w:themeColor="text1"/>
          <w:sz w:val="32"/>
          <w:szCs w:val="32"/>
        </w:rPr>
        <w:t>表2  相关标准</w:t>
      </w:r>
    </w:p>
    <w:tbl>
      <w:tblPr>
        <w:tblStyle w:val="16"/>
        <w:tblW w:w="92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7"/>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2807" w:type="dxa"/>
            <w:vAlign w:val="center"/>
          </w:tcPr>
          <w:p>
            <w:pPr>
              <w:pStyle w:val="18"/>
              <w:spacing w:line="440" w:lineRule="exact"/>
              <w:ind w:firstLine="0" w:firstLineChars="0"/>
              <w:rPr>
                <w:rFonts w:ascii="仿宋" w:hAnsi="仿宋" w:eastAsia="仿宋"/>
                <w:color w:val="000000" w:themeColor="text1"/>
                <w:sz w:val="28"/>
                <w:szCs w:val="28"/>
              </w:rPr>
            </w:pPr>
            <w:r>
              <w:rPr>
                <w:rFonts w:ascii="仿宋" w:hAnsi="仿宋" w:eastAsia="仿宋"/>
                <w:color w:val="000000" w:themeColor="text1"/>
                <w:sz w:val="28"/>
                <w:szCs w:val="28"/>
              </w:rPr>
              <w:t>GB 18279.1-2015</w:t>
            </w:r>
          </w:p>
        </w:tc>
        <w:tc>
          <w:tcPr>
            <w:tcW w:w="6432"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医疗保健产品灭菌 环氧乙烷 第</w:t>
            </w:r>
            <w:r>
              <w:rPr>
                <w:rFonts w:ascii="仿宋" w:hAnsi="仿宋" w:eastAsia="仿宋"/>
                <w:color w:val="000000" w:themeColor="text1"/>
                <w:sz w:val="28"/>
                <w:szCs w:val="28"/>
              </w:rPr>
              <w:t>1</w:t>
            </w:r>
            <w:r>
              <w:rPr>
                <w:rFonts w:hint="eastAsia" w:ascii="仿宋" w:hAnsi="仿宋" w:eastAsia="仿宋"/>
                <w:color w:val="000000" w:themeColor="text1"/>
                <w:sz w:val="28"/>
                <w:szCs w:val="28"/>
              </w:rPr>
              <w:t>部分：医疗器械灭菌过程的开发、确认和常规控制的要求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807"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GB/T 1.1-2020</w:t>
            </w:r>
          </w:p>
        </w:tc>
        <w:tc>
          <w:tcPr>
            <w:tcW w:w="6432"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标准化工作导则 第1部分：标准的结构和起草规则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2807"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GB/T 191-2008</w:t>
            </w:r>
          </w:p>
        </w:tc>
        <w:tc>
          <w:tcPr>
            <w:tcW w:w="6432"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包装贮运图示标志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7"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GB/T 14233.1-2008</w:t>
            </w:r>
          </w:p>
        </w:tc>
        <w:tc>
          <w:tcPr>
            <w:tcW w:w="6432"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医用输液、输血、注射器具检验方法 第1部分：化学分析方法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7"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GB/T 14233.2-2005</w:t>
            </w:r>
          </w:p>
        </w:tc>
        <w:tc>
          <w:tcPr>
            <w:tcW w:w="6432"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医用输液、输血、注射器具检验方法 第2部分：生物学试验方法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2807"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GB/T 16886.1-2011</w:t>
            </w:r>
          </w:p>
        </w:tc>
        <w:tc>
          <w:tcPr>
            <w:tcW w:w="6432"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医疗器械生物学评价  第1部分：风险管理过程中的评价与试验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7"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GB/T 16886.5-2017</w:t>
            </w:r>
          </w:p>
        </w:tc>
        <w:tc>
          <w:tcPr>
            <w:tcW w:w="6432"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医疗器械生物学评价 第5部分：体外细胞毒性试验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7"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GB/T 16886.7-2015</w:t>
            </w:r>
          </w:p>
        </w:tc>
        <w:tc>
          <w:tcPr>
            <w:tcW w:w="6432"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医疗器械生物学评价  第7部分：环氧乙烷灭菌残留量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7"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GB/T 16886.10-2017</w:t>
            </w:r>
          </w:p>
        </w:tc>
        <w:tc>
          <w:tcPr>
            <w:tcW w:w="6432"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医疗器械生物学评价 第10部分：刺激与迟发型超敏反应试验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2807"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bCs/>
                <w:color w:val="000000" w:themeColor="text1"/>
                <w:sz w:val="28"/>
                <w:szCs w:val="28"/>
              </w:rPr>
              <w:t>GB/T 19633.1-2015</w:t>
            </w:r>
          </w:p>
        </w:tc>
        <w:tc>
          <w:tcPr>
            <w:tcW w:w="6432"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bCs/>
                <w:color w:val="000000" w:themeColor="text1"/>
                <w:sz w:val="28"/>
                <w:szCs w:val="28"/>
              </w:rPr>
              <w:t>最终灭菌医疗器械包装 第1部分</w:t>
            </w:r>
            <w:r>
              <w:rPr>
                <w:rFonts w:ascii="仿宋" w:hAnsi="仿宋" w:eastAsia="仿宋"/>
                <w:bCs/>
                <w:color w:val="000000" w:themeColor="text1"/>
                <w:sz w:val="28"/>
                <w:szCs w:val="28"/>
              </w:rPr>
              <w:t>:材料、无菌屏障系统和包装系统的要求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2807" w:type="dxa"/>
            <w:vAlign w:val="center"/>
          </w:tcPr>
          <w:p>
            <w:pPr>
              <w:pStyle w:val="18"/>
              <w:spacing w:line="440" w:lineRule="exact"/>
              <w:ind w:firstLine="0" w:firstLineChars="0"/>
              <w:rPr>
                <w:rFonts w:ascii="仿宋" w:hAnsi="仿宋" w:eastAsia="仿宋"/>
                <w:bCs/>
                <w:color w:val="000000" w:themeColor="text1"/>
                <w:sz w:val="28"/>
                <w:szCs w:val="28"/>
              </w:rPr>
            </w:pPr>
            <w:r>
              <w:rPr>
                <w:rFonts w:ascii="仿宋" w:hAnsi="仿宋" w:eastAsia="仿宋"/>
                <w:bCs/>
                <w:color w:val="000000" w:themeColor="text1"/>
                <w:sz w:val="28"/>
                <w:szCs w:val="28"/>
              </w:rPr>
              <w:t>GB/T 19633.2-2015</w:t>
            </w:r>
          </w:p>
        </w:tc>
        <w:tc>
          <w:tcPr>
            <w:tcW w:w="6432" w:type="dxa"/>
            <w:vAlign w:val="center"/>
          </w:tcPr>
          <w:p>
            <w:pPr>
              <w:pStyle w:val="18"/>
              <w:spacing w:line="440" w:lineRule="exact"/>
              <w:ind w:firstLine="0" w:firstLineChars="0"/>
              <w:rPr>
                <w:rFonts w:ascii="仿宋" w:hAnsi="仿宋" w:eastAsia="仿宋"/>
                <w:bCs/>
                <w:color w:val="000000" w:themeColor="text1"/>
                <w:sz w:val="28"/>
                <w:szCs w:val="28"/>
              </w:rPr>
            </w:pPr>
            <w:r>
              <w:rPr>
                <w:rFonts w:ascii="仿宋" w:hAnsi="仿宋" w:eastAsia="仿宋"/>
                <w:bCs/>
                <w:color w:val="000000" w:themeColor="text1"/>
                <w:sz w:val="28"/>
                <w:szCs w:val="28"/>
              </w:rPr>
              <w:t>最终灭菌医疗器械包装 第2部分:成形、密封和装配过程的确认的要求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7"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YY 0450.1-2020</w:t>
            </w:r>
          </w:p>
        </w:tc>
        <w:tc>
          <w:tcPr>
            <w:tcW w:w="6432"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一次性使用无菌血管内导管辅件 第1部分：导引器械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7"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YY/T 0316-2016</w:t>
            </w:r>
          </w:p>
        </w:tc>
        <w:tc>
          <w:tcPr>
            <w:tcW w:w="6432"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医疗器械风险管理对医疗器械的应用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7"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YY/T 0466.1-2016</w:t>
            </w:r>
          </w:p>
        </w:tc>
        <w:tc>
          <w:tcPr>
            <w:tcW w:w="6432"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医疗器械 用于医疗器械标签、标记和提供信息的符号 第1部分：通用要求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7"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YY/T 0586-2016</w:t>
            </w:r>
          </w:p>
        </w:tc>
        <w:tc>
          <w:tcPr>
            <w:tcW w:w="6432"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医用高分子制品 X射线不透性试验方法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7"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YY/T 0615.1-2007</w:t>
            </w:r>
          </w:p>
        </w:tc>
        <w:tc>
          <w:tcPr>
            <w:tcW w:w="6432"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标示“无菌”医疗器械的要求 第1部分：最终灭菌医疗器械的要求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7" w:type="dxa"/>
            <w:vAlign w:val="center"/>
          </w:tcPr>
          <w:p>
            <w:pPr>
              <w:pStyle w:val="18"/>
              <w:spacing w:line="440" w:lineRule="exact"/>
              <w:ind w:firstLine="0" w:firstLineChars="0"/>
              <w:rPr>
                <w:rFonts w:ascii="仿宋" w:hAnsi="仿宋" w:eastAsia="仿宋"/>
                <w:color w:val="000000" w:themeColor="text1"/>
                <w:sz w:val="28"/>
                <w:szCs w:val="28"/>
              </w:rPr>
            </w:pPr>
            <w:r>
              <w:rPr>
                <w:rFonts w:ascii="仿宋" w:hAnsi="仿宋" w:eastAsia="仿宋"/>
                <w:color w:val="000000" w:themeColor="text1"/>
                <w:sz w:val="28"/>
                <w:szCs w:val="28"/>
              </w:rPr>
              <w:t>YY/T 0681.1-2018</w:t>
            </w:r>
          </w:p>
        </w:tc>
        <w:tc>
          <w:tcPr>
            <w:tcW w:w="6432"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无菌医疗器械包装试验方法 第1部分：加速老化试验指南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2807" w:type="dxa"/>
            <w:vAlign w:val="center"/>
          </w:tcPr>
          <w:p>
            <w:pPr>
              <w:pStyle w:val="18"/>
              <w:spacing w:line="440" w:lineRule="exact"/>
              <w:ind w:firstLine="0" w:firstLineChars="0"/>
              <w:rPr>
                <w:rFonts w:ascii="仿宋" w:hAnsi="仿宋" w:eastAsia="仿宋"/>
                <w:color w:val="000000" w:themeColor="text1"/>
                <w:sz w:val="28"/>
                <w:szCs w:val="28"/>
              </w:rPr>
            </w:pPr>
          </w:p>
        </w:tc>
        <w:tc>
          <w:tcPr>
            <w:tcW w:w="6432" w:type="dxa"/>
            <w:vAlign w:val="center"/>
          </w:tcPr>
          <w:p>
            <w:pPr>
              <w:pStyle w:val="18"/>
              <w:spacing w:line="440" w:lineRule="exact"/>
              <w:ind w:firstLine="0" w:firstLineChars="0"/>
              <w:rPr>
                <w:rFonts w:ascii="仿宋" w:hAnsi="仿宋" w:eastAsia="仿宋"/>
                <w:color w:val="000000" w:themeColor="text1"/>
                <w:sz w:val="28"/>
                <w:szCs w:val="28"/>
              </w:rPr>
            </w:pPr>
            <w:r>
              <w:rPr>
                <w:rFonts w:hint="eastAsia" w:ascii="仿宋" w:hAnsi="仿宋" w:eastAsia="仿宋"/>
                <w:color w:val="000000" w:themeColor="text1"/>
                <w:sz w:val="28"/>
                <w:szCs w:val="28"/>
              </w:rPr>
              <w:t>中华人民共和国药典四部（2020版）</w:t>
            </w:r>
          </w:p>
        </w:tc>
      </w:tr>
    </w:tbl>
    <w:p>
      <w:pPr>
        <w:spacing w:line="520" w:lineRule="exact"/>
        <w:jc w:val="center"/>
        <w:rPr>
          <w:rFonts w:ascii="仿宋_GB2312" w:hAnsi="仿宋" w:eastAsia="仿宋_GB2312" w:cs="仿宋_GB2312"/>
          <w:color w:val="000000" w:themeColor="text1"/>
          <w:sz w:val="32"/>
          <w:szCs w:val="32"/>
        </w:rPr>
      </w:pPr>
    </w:p>
    <w:p>
      <w:pPr>
        <w:spacing w:line="520" w:lineRule="exact"/>
        <w:ind w:firstLine="640" w:firstLineChars="200"/>
        <w:jc w:val="left"/>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上述标准包括了产品技术要求中经常涉及到的标准。企业需要根据产品的特点引用以上标准中适用的标准，特殊需要时也可以引用其他标准。</w:t>
      </w:r>
    </w:p>
    <w:p>
      <w:pPr>
        <w:spacing w:line="52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产品适用及引用标准的审查可以分两步来进行。首先对引用标准的齐全性和适宜性进行审查，也就是在编写产品技术要求时与产品相关的国家、行业标准是否进行了引用，以及引用是否准确。可以通过对研究资料中的产品性能研究是否引用了相关标准，以及所引用的标准是否适宜来进行审查。</w:t>
      </w:r>
    </w:p>
    <w:p>
      <w:pPr>
        <w:spacing w:line="52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其次对引用标准的采纳情况进行审查。即，所引用的标准中的条款要求，是否在产品技术要求中进行了实质性的条款引用。这种引用通常采用两种方式，文字表述繁多内容复杂的可以直接引用标准及条文号，比较简单的也可以直接引述具体要求。</w:t>
      </w:r>
    </w:p>
    <w:p>
      <w:pPr>
        <w:spacing w:line="52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如有新版国家标准、行业标准发布实施，产品性能指标等要求应执行最新版本的国家标准、行业标准。</w:t>
      </w:r>
    </w:p>
    <w:p>
      <w:pPr>
        <w:spacing w:line="520" w:lineRule="exact"/>
        <w:ind w:firstLine="640" w:firstLineChars="200"/>
        <w:rPr>
          <w:rFonts w:ascii="楷体_GB2312" w:hAnsi="楷体" w:eastAsia="楷体_GB2312"/>
          <w:color w:val="000000" w:themeColor="text1"/>
          <w:sz w:val="32"/>
          <w:szCs w:val="32"/>
        </w:rPr>
      </w:pPr>
      <w:r>
        <w:rPr>
          <w:rFonts w:hint="eastAsia" w:ascii="楷体_GB2312" w:hAnsi="楷体" w:eastAsia="楷体_GB2312"/>
          <w:color w:val="000000" w:themeColor="text1"/>
          <w:sz w:val="32"/>
          <w:szCs w:val="32"/>
        </w:rPr>
        <w:t>（六）产品的适用范围、禁忌症</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适用范围：用于引导器械，进入泌尿系腔道或组织。</w:t>
      </w:r>
      <w:r>
        <w:rPr>
          <w:rFonts w:hint="eastAsia" w:ascii="仿宋" w:hAnsi="仿宋" w:eastAsia="仿宋"/>
          <w:color w:val="000000" w:themeColor="text1"/>
          <w:sz w:val="32"/>
          <w:szCs w:val="32"/>
        </w:rPr>
        <w:t>制定适用范围时其描述内容应包括配合使用器械（如有）、</w:t>
      </w:r>
      <w:r>
        <w:rPr>
          <w:rFonts w:hint="eastAsia" w:ascii="仿宋" w:hAnsi="仿宋" w:eastAsia="仿宋"/>
          <w:color w:val="000000" w:themeColor="text1"/>
          <w:sz w:val="32"/>
          <w:szCs w:val="32"/>
        </w:rPr>
        <w:t xml:space="preserve">使用部位、用途。其描述应根据产品自身特点,与申报产品的性能、功能相符，并应与临床评价资料结论一致。   </w:t>
      </w:r>
    </w:p>
    <w:p>
      <w:pPr>
        <w:spacing w:line="520" w:lineRule="exact"/>
        <w:ind w:firstLine="640" w:firstLineChars="200"/>
        <w:rPr>
          <w:rFonts w:ascii="仿宋_GB2312" w:hAnsi="仿宋" w:eastAsia="仿宋_GB2312"/>
          <w:color w:val="000000" w:themeColor="text1"/>
          <w:sz w:val="32"/>
          <w:szCs w:val="32"/>
        </w:rPr>
      </w:pPr>
      <w:r>
        <w:rPr>
          <w:rFonts w:hint="eastAsia" w:ascii="仿宋" w:hAnsi="仿宋" w:eastAsia="仿宋"/>
          <w:color w:val="000000" w:themeColor="text1"/>
          <w:sz w:val="32"/>
          <w:szCs w:val="32"/>
        </w:rPr>
        <w:t>禁忌症：暂未发现。</w:t>
      </w:r>
    </w:p>
    <w:p>
      <w:pPr>
        <w:spacing w:line="520" w:lineRule="exact"/>
        <w:ind w:firstLine="640" w:firstLineChars="200"/>
        <w:rPr>
          <w:rFonts w:ascii="楷体_GB2312" w:hAnsi="楷体" w:eastAsia="楷体_GB2312"/>
          <w:color w:val="000000" w:themeColor="text1"/>
          <w:sz w:val="32"/>
          <w:szCs w:val="32"/>
        </w:rPr>
      </w:pPr>
      <w:r>
        <w:rPr>
          <w:rFonts w:hint="eastAsia" w:ascii="楷体_GB2312" w:hAnsi="楷体" w:eastAsia="楷体_GB2312"/>
          <w:color w:val="000000" w:themeColor="text1"/>
          <w:sz w:val="32"/>
          <w:szCs w:val="32"/>
        </w:rPr>
        <w:t>（七）产品的主要风险</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导丝产品在进行风险分析时应符合YY/T0316-2016《医疗器械 风险管理对医疗器械的应用》的要求。</w:t>
      </w:r>
    </w:p>
    <w:p>
      <w:pPr>
        <w:spacing w:line="520" w:lineRule="exact"/>
        <w:ind w:firstLine="640" w:firstLineChars="200"/>
        <w:rPr>
          <w:rFonts w:ascii="仿宋_GB2312" w:hAnsi="仿宋" w:eastAsia="仿宋_GB2312"/>
          <w:color w:val="000000" w:themeColor="text1"/>
          <w:sz w:val="32"/>
          <w:szCs w:val="32"/>
        </w:rPr>
      </w:pPr>
      <w:r>
        <w:rPr>
          <w:rFonts w:hint="eastAsia" w:ascii="仿宋" w:hAnsi="仿宋" w:eastAsia="仿宋"/>
          <w:color w:val="000000" w:themeColor="text1"/>
          <w:sz w:val="32"/>
          <w:szCs w:val="32"/>
        </w:rPr>
        <w:t>企业在进行风险分析时，至少应考虑表3中的主要危害，企业还应根据自身产品特点确定其他危害。针对产品的各项风险，企业应采取应对措施，确保风险降到可接受的程度。</w:t>
      </w:r>
    </w:p>
    <w:p>
      <w:pPr>
        <w:spacing w:line="520" w:lineRule="exact"/>
        <w:ind w:firstLine="640" w:firstLineChars="200"/>
        <w:jc w:val="center"/>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表3  产品主要危害</w:t>
      </w:r>
    </w:p>
    <w:tbl>
      <w:tblPr>
        <w:tblStyle w:val="16"/>
        <w:tblW w:w="8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050"/>
        <w:gridCol w:w="2976"/>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6" w:hRule="atLeast"/>
          <w:tblHeader/>
          <w:jc w:val="center"/>
        </w:trPr>
        <w:tc>
          <w:tcPr>
            <w:tcW w:w="2829" w:type="dxa"/>
            <w:gridSpan w:val="2"/>
            <w:vAlign w:val="center"/>
          </w:tcPr>
          <w:p>
            <w:pPr>
              <w:tabs>
                <w:tab w:val="center" w:pos="1407"/>
                <w:tab w:val="right" w:pos="2814"/>
              </w:tabs>
              <w:spacing w:line="44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lang w:val="en-US" w:eastAsia="zh-CN"/>
              </w:rPr>
              <w:t>危险（源）</w:t>
            </w:r>
            <w:r>
              <w:rPr>
                <w:rFonts w:hint="eastAsia" w:ascii="仿宋" w:hAnsi="仿宋" w:eastAsia="仿宋"/>
                <w:color w:val="000000" w:themeColor="text1"/>
                <w:sz w:val="28"/>
                <w:szCs w:val="28"/>
              </w:rPr>
              <w:t>的分类</w:t>
            </w:r>
          </w:p>
        </w:tc>
        <w:tc>
          <w:tcPr>
            <w:tcW w:w="2976" w:type="dxa"/>
            <w:vAlign w:val="center"/>
          </w:tcPr>
          <w:p>
            <w:pPr>
              <w:spacing w:line="44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lang w:val="en-US" w:eastAsia="zh-CN"/>
              </w:rPr>
              <w:t>危险（源）</w:t>
            </w:r>
            <w:r>
              <w:rPr>
                <w:rFonts w:hint="eastAsia" w:ascii="仿宋" w:hAnsi="仿宋" w:eastAsia="仿宋"/>
                <w:color w:val="000000" w:themeColor="text1"/>
                <w:sz w:val="28"/>
                <w:szCs w:val="28"/>
              </w:rPr>
              <w:t>的形成因素</w:t>
            </w:r>
          </w:p>
        </w:tc>
        <w:tc>
          <w:tcPr>
            <w:tcW w:w="3119" w:type="dxa"/>
            <w:vAlign w:val="center"/>
          </w:tcPr>
          <w:p>
            <w:pPr>
              <w:spacing w:line="44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可能的后果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9" w:type="dxa"/>
            <w:vMerge w:val="restart"/>
            <w:vAlign w:val="center"/>
          </w:tcPr>
          <w:p>
            <w:pPr>
              <w:spacing w:line="440" w:lineRule="exact"/>
              <w:jc w:val="left"/>
              <w:rPr>
                <w:rFonts w:ascii="仿宋" w:hAnsi="仿宋" w:eastAsia="仿宋"/>
                <w:color w:val="000000" w:themeColor="text1"/>
                <w:sz w:val="28"/>
                <w:szCs w:val="28"/>
              </w:rPr>
            </w:pPr>
            <w:r>
              <w:rPr>
                <w:rFonts w:hint="eastAsia" w:ascii="仿宋" w:hAnsi="仿宋" w:eastAsia="仿宋"/>
                <w:color w:val="000000" w:themeColor="text1"/>
                <w:sz w:val="28"/>
                <w:szCs w:val="28"/>
              </w:rPr>
              <w:t>生物学危害危险（源）</w:t>
            </w:r>
          </w:p>
        </w:tc>
        <w:tc>
          <w:tcPr>
            <w:tcW w:w="2050"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生物污染 </w:t>
            </w:r>
          </w:p>
        </w:tc>
        <w:tc>
          <w:tcPr>
            <w:tcW w:w="2976"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生产环境污染产品，如外来的纤维、粉尘、细菌等其他杂质；</w:t>
            </w:r>
          </w:p>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产品原材料受到污染；</w:t>
            </w:r>
          </w:p>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灭菌操作不严格； </w:t>
            </w:r>
          </w:p>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包装破损；</w:t>
            </w:r>
          </w:p>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使用时操作不正规</w:t>
            </w:r>
          </w:p>
        </w:tc>
        <w:tc>
          <w:tcPr>
            <w:tcW w:w="3119"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产品带菌、引起患者感染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9" w:type="dxa"/>
            <w:vMerge w:val="continue"/>
            <w:vAlign w:val="center"/>
          </w:tcPr>
          <w:p>
            <w:pPr>
              <w:spacing w:line="440" w:lineRule="exact"/>
              <w:rPr>
                <w:rFonts w:ascii="仿宋" w:hAnsi="仿宋" w:eastAsia="仿宋"/>
                <w:color w:val="000000" w:themeColor="text1"/>
                <w:sz w:val="28"/>
                <w:szCs w:val="28"/>
              </w:rPr>
            </w:pPr>
          </w:p>
        </w:tc>
        <w:tc>
          <w:tcPr>
            <w:tcW w:w="2050"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生物不相容性</w:t>
            </w:r>
          </w:p>
        </w:tc>
        <w:tc>
          <w:tcPr>
            <w:tcW w:w="2976"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残留物过多；</w:t>
            </w:r>
          </w:p>
          <w:p>
            <w:pPr>
              <w:spacing w:line="440" w:lineRule="exact"/>
              <w:rPr>
                <w:rFonts w:ascii="仿宋" w:hAnsi="仿宋" w:eastAsia="仿宋"/>
                <w:color w:val="000000" w:themeColor="text1"/>
                <w:sz w:val="28"/>
                <w:szCs w:val="28"/>
              </w:rPr>
            </w:pPr>
            <w:r>
              <w:rPr>
                <w:rFonts w:hint="eastAsia" w:ascii="仿宋" w:hAnsi="仿宋" w:eastAsia="仿宋"/>
                <w:color w:val="000000" w:themeColor="text1"/>
                <w:spacing w:val="-10"/>
                <w:sz w:val="28"/>
                <w:szCs w:val="28"/>
              </w:rPr>
              <w:t xml:space="preserve">加工工艺控制不严格 </w:t>
            </w:r>
          </w:p>
        </w:tc>
        <w:tc>
          <w:tcPr>
            <w:tcW w:w="3119"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涂层溶剂残留、金属碎屑残留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9" w:type="dxa"/>
            <w:vMerge w:val="continue"/>
            <w:vAlign w:val="center"/>
          </w:tcPr>
          <w:p>
            <w:pPr>
              <w:spacing w:line="440" w:lineRule="exact"/>
              <w:rPr>
                <w:rFonts w:ascii="仿宋" w:hAnsi="仿宋" w:eastAsia="仿宋"/>
                <w:color w:val="000000" w:themeColor="text1"/>
                <w:sz w:val="28"/>
                <w:szCs w:val="28"/>
              </w:rPr>
            </w:pPr>
          </w:p>
        </w:tc>
        <w:tc>
          <w:tcPr>
            <w:tcW w:w="2050"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再感染和(或)交叉感染</w:t>
            </w:r>
          </w:p>
        </w:tc>
        <w:tc>
          <w:tcPr>
            <w:tcW w:w="2976" w:type="dxa"/>
            <w:vAlign w:val="center"/>
          </w:tcPr>
          <w:p>
            <w:pPr>
              <w:spacing w:line="440" w:lineRule="exact"/>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lang w:val="en-US" w:eastAsia="zh-CN"/>
              </w:rPr>
              <w:t>标识不清；</w:t>
            </w:r>
          </w:p>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未按使用要求一次性使用</w:t>
            </w:r>
          </w:p>
        </w:tc>
        <w:tc>
          <w:tcPr>
            <w:tcW w:w="3119"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引起感染、交叉感染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9" w:type="dxa"/>
            <w:vMerge w:val="restart"/>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环境</w:t>
            </w:r>
          </w:p>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危险（源）</w:t>
            </w:r>
          </w:p>
        </w:tc>
        <w:tc>
          <w:tcPr>
            <w:tcW w:w="2050"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储存或运行偏离预订的环境条件</w:t>
            </w:r>
          </w:p>
        </w:tc>
        <w:tc>
          <w:tcPr>
            <w:tcW w:w="2976"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储运条件（如温度、湿度、臭氧/紫外线、有机溶剂）不符合要求</w:t>
            </w:r>
          </w:p>
        </w:tc>
        <w:tc>
          <w:tcPr>
            <w:tcW w:w="3119"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产品老化、无菌有效期缩短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9" w:type="dxa"/>
            <w:vMerge w:val="continue"/>
            <w:vAlign w:val="center"/>
          </w:tcPr>
          <w:p>
            <w:pPr>
              <w:spacing w:line="440" w:lineRule="exact"/>
              <w:rPr>
                <w:rFonts w:ascii="仿宋" w:hAnsi="仿宋" w:eastAsia="仿宋"/>
                <w:color w:val="000000" w:themeColor="text1"/>
                <w:sz w:val="28"/>
                <w:szCs w:val="28"/>
              </w:rPr>
            </w:pPr>
          </w:p>
        </w:tc>
        <w:tc>
          <w:tcPr>
            <w:tcW w:w="2050"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意外的机械破坏</w:t>
            </w:r>
          </w:p>
        </w:tc>
        <w:tc>
          <w:tcPr>
            <w:tcW w:w="2976"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储运、使用过程中发生意外的机械性破坏</w:t>
            </w:r>
          </w:p>
        </w:tc>
        <w:tc>
          <w:tcPr>
            <w:tcW w:w="3119"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产品使用性能无法得到保证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8" w:hRule="atLeast"/>
          <w:jc w:val="center"/>
        </w:trPr>
        <w:tc>
          <w:tcPr>
            <w:tcW w:w="779" w:type="dxa"/>
            <w:vMerge w:val="continue"/>
            <w:vAlign w:val="center"/>
          </w:tcPr>
          <w:p>
            <w:pPr>
              <w:spacing w:line="440" w:lineRule="exact"/>
              <w:rPr>
                <w:rFonts w:ascii="仿宋" w:hAnsi="仿宋" w:eastAsia="仿宋"/>
                <w:color w:val="000000" w:themeColor="text1"/>
                <w:sz w:val="28"/>
                <w:szCs w:val="28"/>
              </w:rPr>
            </w:pPr>
          </w:p>
        </w:tc>
        <w:tc>
          <w:tcPr>
            <w:tcW w:w="2050"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由于废物和（或）医疗器械处置的污染</w:t>
            </w:r>
          </w:p>
        </w:tc>
        <w:tc>
          <w:tcPr>
            <w:tcW w:w="2976"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使用后的产品没有按照要求集中销毁</w:t>
            </w:r>
          </w:p>
        </w:tc>
        <w:tc>
          <w:tcPr>
            <w:tcW w:w="3119"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造成环境污染或者细菌的交叉感染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9" w:type="dxa"/>
            <w:vMerge w:val="restart"/>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与医疗器械使用有关的危险（源）</w:t>
            </w:r>
          </w:p>
        </w:tc>
        <w:tc>
          <w:tcPr>
            <w:tcW w:w="2050" w:type="dxa"/>
            <w:vAlign w:val="center"/>
          </w:tcPr>
          <w:p>
            <w:pPr>
              <w:spacing w:line="440" w:lineRule="exact"/>
              <w:rPr>
                <w:rFonts w:ascii="仿宋" w:hAnsi="仿宋" w:eastAsia="仿宋"/>
                <w:color w:val="000000" w:themeColor="text1"/>
                <w:sz w:val="28"/>
                <w:szCs w:val="28"/>
              </w:rPr>
            </w:pPr>
          </w:p>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不适当的标记</w:t>
            </w:r>
          </w:p>
          <w:p>
            <w:pPr>
              <w:spacing w:line="440" w:lineRule="exact"/>
              <w:rPr>
                <w:rFonts w:ascii="仿宋" w:hAnsi="仿宋" w:eastAsia="仿宋"/>
                <w:color w:val="000000" w:themeColor="text1"/>
                <w:sz w:val="28"/>
                <w:szCs w:val="28"/>
              </w:rPr>
            </w:pPr>
          </w:p>
        </w:tc>
        <w:tc>
          <w:tcPr>
            <w:tcW w:w="2976"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标记不清晰、错误、</w:t>
            </w:r>
          </w:p>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没有按照要求进行标记</w:t>
            </w:r>
          </w:p>
        </w:tc>
        <w:tc>
          <w:tcPr>
            <w:tcW w:w="3119"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错误使用</w:t>
            </w:r>
          </w:p>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储存错误</w:t>
            </w:r>
          </w:p>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产品辨别错误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9" w:type="dxa"/>
            <w:vMerge w:val="continue"/>
            <w:vAlign w:val="center"/>
          </w:tcPr>
          <w:p>
            <w:pPr>
              <w:spacing w:line="440" w:lineRule="exact"/>
              <w:rPr>
                <w:rFonts w:ascii="仿宋" w:hAnsi="仿宋" w:eastAsia="仿宋"/>
                <w:color w:val="000000" w:themeColor="text1"/>
                <w:sz w:val="28"/>
                <w:szCs w:val="28"/>
              </w:rPr>
            </w:pPr>
          </w:p>
        </w:tc>
        <w:tc>
          <w:tcPr>
            <w:tcW w:w="2050"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操作不熟练</w:t>
            </w:r>
          </w:p>
        </w:tc>
        <w:tc>
          <w:tcPr>
            <w:tcW w:w="2976"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由不熟练/未经培训的人员使用；操作不熟练、操作失误。</w:t>
            </w:r>
          </w:p>
        </w:tc>
        <w:tc>
          <w:tcPr>
            <w:tcW w:w="3119"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造成自然腔道损伤、穿孔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9" w:type="dxa"/>
            <w:vMerge w:val="continue"/>
            <w:vAlign w:val="center"/>
          </w:tcPr>
          <w:p>
            <w:pPr>
              <w:spacing w:line="440" w:lineRule="exact"/>
              <w:rPr>
                <w:rFonts w:ascii="仿宋" w:hAnsi="仿宋" w:eastAsia="仿宋"/>
                <w:color w:val="000000" w:themeColor="text1"/>
                <w:sz w:val="28"/>
                <w:szCs w:val="28"/>
              </w:rPr>
            </w:pPr>
          </w:p>
        </w:tc>
        <w:tc>
          <w:tcPr>
            <w:tcW w:w="2050"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不适当的操作说明，如：</w:t>
            </w:r>
          </w:p>
          <w:p>
            <w:pPr>
              <w:spacing w:line="440" w:lineRule="exact"/>
              <w:rPr>
                <w:rFonts w:ascii="仿宋" w:hAnsi="仿宋" w:eastAsia="仿宋"/>
                <w:color w:val="000000" w:themeColor="text1"/>
                <w:spacing w:val="-10"/>
                <w:sz w:val="28"/>
                <w:szCs w:val="28"/>
              </w:rPr>
            </w:pPr>
            <w:r>
              <w:rPr>
                <w:rFonts w:hint="eastAsia" w:ascii="仿宋" w:hAnsi="仿宋" w:eastAsia="仿宋"/>
                <w:color w:val="000000" w:themeColor="text1"/>
                <w:sz w:val="28"/>
                <w:szCs w:val="28"/>
              </w:rPr>
              <w:t>(1)</w:t>
            </w:r>
            <w:r>
              <w:rPr>
                <w:rFonts w:hint="eastAsia" w:ascii="仿宋" w:hAnsi="仿宋" w:eastAsia="仿宋"/>
                <w:color w:val="000000" w:themeColor="text1"/>
                <w:spacing w:val="-10"/>
                <w:sz w:val="28"/>
                <w:szCs w:val="28"/>
              </w:rPr>
              <w:t>和医疗器械一起使用的附件规范不适当；</w:t>
            </w:r>
          </w:p>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(2)预先检查规范不适当</w:t>
            </w:r>
          </w:p>
        </w:tc>
        <w:tc>
          <w:tcPr>
            <w:tcW w:w="2976"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操作不规范</w:t>
            </w:r>
          </w:p>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包装破损无法识别</w:t>
            </w:r>
          </w:p>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操作要点不突出</w:t>
            </w:r>
          </w:p>
        </w:tc>
        <w:tc>
          <w:tcPr>
            <w:tcW w:w="3119"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无法保证使用安全性，如导丝破裂、脱落、体内残留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9" w:type="dxa"/>
            <w:vMerge w:val="continue"/>
            <w:vAlign w:val="center"/>
          </w:tcPr>
          <w:p>
            <w:pPr>
              <w:spacing w:line="440" w:lineRule="exact"/>
              <w:rPr>
                <w:rFonts w:ascii="仿宋" w:hAnsi="仿宋" w:eastAsia="仿宋"/>
                <w:color w:val="000000" w:themeColor="text1"/>
                <w:sz w:val="28"/>
                <w:szCs w:val="28"/>
              </w:rPr>
            </w:pPr>
          </w:p>
        </w:tc>
        <w:tc>
          <w:tcPr>
            <w:tcW w:w="2050"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对副作用的警告不充分</w:t>
            </w:r>
          </w:p>
        </w:tc>
        <w:tc>
          <w:tcPr>
            <w:tcW w:w="2976"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对操作人员警示不足</w:t>
            </w:r>
          </w:p>
        </w:tc>
        <w:tc>
          <w:tcPr>
            <w:tcW w:w="3119"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重复使用</w:t>
            </w:r>
          </w:p>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二次灭菌</w:t>
            </w:r>
          </w:p>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使用者出现过敏、刺激反应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9" w:type="dxa"/>
            <w:vMerge w:val="continue"/>
            <w:vAlign w:val="center"/>
          </w:tcPr>
          <w:p>
            <w:pPr>
              <w:spacing w:line="440" w:lineRule="exact"/>
              <w:rPr>
                <w:rFonts w:ascii="仿宋" w:hAnsi="仿宋" w:eastAsia="仿宋"/>
                <w:color w:val="000000" w:themeColor="text1"/>
                <w:sz w:val="28"/>
                <w:szCs w:val="28"/>
              </w:rPr>
            </w:pPr>
          </w:p>
        </w:tc>
        <w:tc>
          <w:tcPr>
            <w:tcW w:w="2050" w:type="dxa"/>
            <w:vAlign w:val="center"/>
          </w:tcPr>
          <w:p>
            <w:pPr>
              <w:spacing w:line="440" w:lineRule="exact"/>
              <w:rPr>
                <w:rFonts w:ascii="仿宋" w:hAnsi="仿宋" w:eastAsia="仿宋"/>
                <w:color w:val="000000" w:themeColor="text1"/>
                <w:spacing w:val="-14"/>
                <w:sz w:val="28"/>
                <w:szCs w:val="28"/>
              </w:rPr>
            </w:pPr>
            <w:r>
              <w:rPr>
                <w:rFonts w:hint="eastAsia" w:ascii="仿宋" w:hAnsi="仿宋" w:eastAsia="仿宋"/>
                <w:color w:val="000000" w:themeColor="text1"/>
                <w:spacing w:val="-14"/>
                <w:sz w:val="28"/>
                <w:szCs w:val="28"/>
              </w:rPr>
              <w:t>对一次性使用医疗器械很可能再次使用的危害警告不适当</w:t>
            </w:r>
          </w:p>
        </w:tc>
        <w:tc>
          <w:tcPr>
            <w:tcW w:w="2976"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造成重复使用</w:t>
            </w:r>
          </w:p>
        </w:tc>
        <w:tc>
          <w:tcPr>
            <w:tcW w:w="3119"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交叉感染</w:t>
            </w:r>
          </w:p>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破损、断裂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9" w:type="dxa"/>
            <w:vMerge w:val="restart"/>
            <w:vAlign w:val="center"/>
          </w:tcPr>
          <w:p>
            <w:pPr>
              <w:spacing w:line="440" w:lineRule="exact"/>
              <w:jc w:val="left"/>
              <w:rPr>
                <w:rFonts w:ascii="仿宋" w:hAnsi="仿宋" w:eastAsia="仿宋"/>
                <w:color w:val="000000" w:themeColor="text1"/>
                <w:sz w:val="28"/>
                <w:szCs w:val="28"/>
              </w:rPr>
            </w:pPr>
            <w:r>
              <w:rPr>
                <w:rFonts w:hint="eastAsia" w:ascii="仿宋" w:hAnsi="仿宋" w:eastAsia="仿宋"/>
                <w:color w:val="000000" w:themeColor="text1"/>
                <w:sz w:val="28"/>
                <w:szCs w:val="28"/>
              </w:rPr>
              <w:t>功能性失效、维修和老化引起的危险（源）</w:t>
            </w:r>
          </w:p>
        </w:tc>
        <w:tc>
          <w:tcPr>
            <w:tcW w:w="2050"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对医疗器械寿命终止缺少适当的决定</w:t>
            </w:r>
          </w:p>
        </w:tc>
        <w:tc>
          <w:tcPr>
            <w:tcW w:w="2976"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没有标识产品有效期</w:t>
            </w:r>
          </w:p>
        </w:tc>
        <w:tc>
          <w:tcPr>
            <w:tcW w:w="3119"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超出有效期的产品被使用，造成细菌感染或因材料老化产生而导致产品性能不符合要求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9" w:type="dxa"/>
            <w:vMerge w:val="continue"/>
            <w:vAlign w:val="center"/>
          </w:tcPr>
          <w:p>
            <w:pPr>
              <w:spacing w:line="440" w:lineRule="exact"/>
              <w:jc w:val="left"/>
              <w:rPr>
                <w:rFonts w:ascii="仿宋" w:hAnsi="仿宋" w:eastAsia="仿宋"/>
                <w:color w:val="000000" w:themeColor="text1"/>
                <w:sz w:val="28"/>
                <w:szCs w:val="28"/>
              </w:rPr>
            </w:pPr>
          </w:p>
        </w:tc>
        <w:tc>
          <w:tcPr>
            <w:tcW w:w="2050" w:type="dxa"/>
            <w:vAlign w:val="center"/>
          </w:tcPr>
          <w:p>
            <w:pPr>
              <w:spacing w:line="440" w:lineRule="exact"/>
              <w:jc w:val="left"/>
              <w:textAlignment w:val="baseline"/>
              <w:rPr>
                <w:rFonts w:ascii="仿宋" w:hAnsi="仿宋" w:eastAsia="仿宋"/>
                <w:color w:val="000000" w:themeColor="text1"/>
                <w:sz w:val="28"/>
                <w:szCs w:val="28"/>
              </w:rPr>
            </w:pPr>
            <w:r>
              <w:rPr>
                <w:rFonts w:hint="eastAsia" w:ascii="仿宋" w:hAnsi="仿宋" w:eastAsia="仿宋"/>
                <w:color w:val="000000" w:themeColor="text1"/>
                <w:sz w:val="28"/>
                <w:szCs w:val="28"/>
              </w:rPr>
              <w:t>失去产品的完整性</w:t>
            </w:r>
          </w:p>
        </w:tc>
        <w:tc>
          <w:tcPr>
            <w:tcW w:w="2976" w:type="dxa"/>
            <w:vAlign w:val="center"/>
          </w:tcPr>
          <w:p>
            <w:pPr>
              <w:spacing w:line="440" w:lineRule="exact"/>
              <w:textAlignment w:val="baseline"/>
              <w:rPr>
                <w:rFonts w:ascii="仿宋" w:hAnsi="仿宋" w:eastAsia="仿宋"/>
                <w:color w:val="000000" w:themeColor="text1"/>
                <w:sz w:val="28"/>
                <w:szCs w:val="28"/>
              </w:rPr>
            </w:pPr>
            <w:r>
              <w:rPr>
                <w:rFonts w:hint="eastAsia" w:ascii="仿宋" w:hAnsi="仿宋" w:eastAsia="仿宋"/>
                <w:color w:val="000000" w:themeColor="text1"/>
                <w:sz w:val="28"/>
                <w:szCs w:val="28"/>
              </w:rPr>
              <w:t>产品包装破损达不到隔离要求</w:t>
            </w:r>
          </w:p>
        </w:tc>
        <w:tc>
          <w:tcPr>
            <w:tcW w:w="3119"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无法保证使用安全性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9" w:type="dxa"/>
            <w:vMerge w:val="continue"/>
            <w:vAlign w:val="center"/>
          </w:tcPr>
          <w:p>
            <w:pPr>
              <w:spacing w:line="440" w:lineRule="exact"/>
              <w:rPr>
                <w:rFonts w:ascii="仿宋" w:hAnsi="仿宋" w:eastAsia="仿宋"/>
                <w:color w:val="000000" w:themeColor="text1"/>
                <w:sz w:val="28"/>
                <w:szCs w:val="28"/>
              </w:rPr>
            </w:pPr>
          </w:p>
        </w:tc>
        <w:tc>
          <w:tcPr>
            <w:tcW w:w="2050"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不适当的包装（医疗器械的污染和/或变质）</w:t>
            </w:r>
          </w:p>
        </w:tc>
        <w:tc>
          <w:tcPr>
            <w:tcW w:w="2976"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没有进行包装确认</w:t>
            </w:r>
          </w:p>
        </w:tc>
        <w:tc>
          <w:tcPr>
            <w:tcW w:w="3119" w:type="dxa"/>
            <w:vAlign w:val="center"/>
          </w:tcPr>
          <w:p>
            <w:pPr>
              <w:spacing w:line="440" w:lineRule="exact"/>
              <w:rPr>
                <w:rFonts w:ascii="仿宋" w:hAnsi="仿宋" w:eastAsia="仿宋"/>
                <w:color w:val="000000" w:themeColor="text1"/>
                <w:sz w:val="28"/>
                <w:szCs w:val="28"/>
              </w:rPr>
            </w:pPr>
            <w:r>
              <w:rPr>
                <w:rFonts w:hint="eastAsia" w:ascii="仿宋" w:hAnsi="仿宋" w:eastAsia="仿宋"/>
                <w:color w:val="000000" w:themeColor="text1"/>
                <w:sz w:val="28"/>
                <w:szCs w:val="28"/>
              </w:rPr>
              <w:t>不能确保产品无菌，从而导致出现细菌感染</w:t>
            </w:r>
          </w:p>
        </w:tc>
      </w:tr>
    </w:tbl>
    <w:p>
      <w:pPr>
        <w:spacing w:line="520" w:lineRule="exact"/>
        <w:ind w:firstLine="640" w:firstLineChars="200"/>
        <w:rPr>
          <w:rFonts w:ascii="楷体_GB2312" w:hAnsi="楷体" w:eastAsia="楷体_GB2312"/>
          <w:color w:val="000000" w:themeColor="text1"/>
          <w:sz w:val="32"/>
          <w:szCs w:val="32"/>
        </w:rPr>
      </w:pPr>
      <w:bookmarkStart w:id="4" w:name="_Toc476683310"/>
      <w:r>
        <w:rPr>
          <w:rFonts w:hint="eastAsia" w:ascii="楷体_GB2312" w:hAnsi="楷体" w:eastAsia="楷体_GB2312"/>
          <w:color w:val="000000" w:themeColor="text1"/>
          <w:sz w:val="32"/>
          <w:szCs w:val="32"/>
        </w:rPr>
        <w:t>（八）产品技术要求的主要性能指标</w:t>
      </w:r>
    </w:p>
    <w:bookmarkEnd w:id="4"/>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本条款给出导丝产品需要满足的性能要求，其他性能要求企业可参考相应的国家标准、行业标准，根据企业自身产品的技术特点制定相应的要求，但不得低于相关国家标准、行业标准的有关要求。如有不适用条款（包括国家标准、行业标准要求），企业应说明理由。</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企业编制产品技术要求时应明确规格型号的划分、产品的结构组成等内容，常见的导丝通用技术指标应有以下几点（包括但不限于此）：</w:t>
      </w:r>
    </w:p>
    <w:p>
      <w:pPr>
        <w:numPr>
          <w:ilvl w:val="0"/>
          <w:numId w:val="4"/>
        </w:numPr>
        <w:spacing w:line="560" w:lineRule="exact"/>
        <w:ind w:left="0"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、外观：应清洁、无异物，不应有表面缺陷和加工缺陷；导丝头端应圆钝等。</w:t>
      </w:r>
    </w:p>
    <w:p>
      <w:pPr>
        <w:numPr>
          <w:ilvl w:val="0"/>
          <w:numId w:val="4"/>
        </w:numPr>
        <w:spacing w:line="560" w:lineRule="exact"/>
        <w:ind w:left="0"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、尺寸：应明确关键尺寸项，如外径、长度等；应给出产品的示意图。</w:t>
      </w:r>
    </w:p>
    <w:p>
      <w:pPr>
        <w:numPr>
          <w:ilvl w:val="0"/>
          <w:numId w:val="4"/>
        </w:numPr>
        <w:spacing w:line="560" w:lineRule="exact"/>
        <w:ind w:left="0"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、导丝峰值拉力：应对导丝上会导致失效的关键连接处参考YY 0450.1-2020中8.6项制定导丝峰值拉力。</w:t>
      </w:r>
    </w:p>
    <w:p>
      <w:pPr>
        <w:numPr>
          <w:ilvl w:val="0"/>
          <w:numId w:val="4"/>
        </w:numPr>
        <w:spacing w:line="560" w:lineRule="exact"/>
        <w:ind w:left="0"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w:t>
      </w:r>
      <w:bookmarkStart w:id="5" w:name="OLE_LINK7"/>
      <w:r>
        <w:rPr>
          <w:rFonts w:hint="eastAsia" w:ascii="仿宋" w:hAnsi="仿宋" w:eastAsia="仿宋"/>
          <w:color w:val="000000" w:themeColor="text1"/>
          <w:sz w:val="32"/>
          <w:szCs w:val="32"/>
        </w:rPr>
        <w:t>破裂试验</w:t>
      </w:r>
      <w:bookmarkEnd w:id="5"/>
      <w:r>
        <w:rPr>
          <w:rFonts w:hint="eastAsia" w:ascii="仿宋" w:hAnsi="仿宋" w:eastAsia="仿宋"/>
          <w:color w:val="000000" w:themeColor="text1"/>
          <w:sz w:val="32"/>
          <w:szCs w:val="32"/>
        </w:rPr>
        <w:t>（可参考YY 0450.1-2020）。</w:t>
      </w:r>
    </w:p>
    <w:p>
      <w:pPr>
        <w:spacing w:line="560" w:lineRule="exact"/>
        <w:ind w:left="640"/>
        <w:rPr>
          <w:rFonts w:ascii="仿宋" w:hAnsi="仿宋" w:eastAsia="仿宋"/>
          <w:color w:val="000000" w:themeColor="text1"/>
          <w:sz w:val="32"/>
          <w:szCs w:val="32"/>
        </w:rPr>
      </w:pPr>
      <w:r>
        <w:rPr>
          <w:rFonts w:hint="eastAsia" w:ascii="仿宋" w:hAnsi="仿宋" w:eastAsia="仿宋"/>
          <w:color w:val="000000" w:themeColor="text1"/>
          <w:sz w:val="32"/>
          <w:szCs w:val="32"/>
        </w:rPr>
        <w:t>注：</w:t>
      </w:r>
      <w:bookmarkStart w:id="6" w:name="OLE_LINK3"/>
      <w:bookmarkStart w:id="7" w:name="OLE_LINK4"/>
      <w:r>
        <w:rPr>
          <w:rFonts w:hint="eastAsia" w:ascii="仿宋" w:hAnsi="仿宋" w:eastAsia="仿宋"/>
          <w:color w:val="000000" w:themeColor="text1"/>
          <w:sz w:val="32"/>
          <w:szCs w:val="32"/>
        </w:rPr>
        <w:t>对于超硬导</w:t>
      </w:r>
      <w:bookmarkStart w:id="8" w:name="OLE_LINK8"/>
      <w:bookmarkStart w:id="9" w:name="OLE_LINK9"/>
      <w:r>
        <w:rPr>
          <w:rFonts w:hint="eastAsia" w:ascii="仿宋" w:hAnsi="仿宋" w:eastAsia="仿宋"/>
          <w:color w:val="000000" w:themeColor="text1"/>
          <w:sz w:val="32"/>
          <w:szCs w:val="32"/>
        </w:rPr>
        <w:t>丝（如仅用于经皮肾镜手术中的J型导丝）</w:t>
      </w:r>
      <w:bookmarkEnd w:id="8"/>
      <w:bookmarkEnd w:id="9"/>
      <w:r>
        <w:rPr>
          <w:rFonts w:ascii="仿宋" w:hAnsi="仿宋" w:eastAsia="仿宋"/>
          <w:color w:val="000000" w:themeColor="text1"/>
          <w:sz w:val="32"/>
          <w:szCs w:val="32"/>
        </w:rPr>
        <w:t>，</w:t>
      </w:r>
      <w:bookmarkEnd w:id="6"/>
      <w:bookmarkEnd w:id="7"/>
      <w:r>
        <w:rPr>
          <w:rFonts w:hint="eastAsia" w:ascii="仿宋" w:hAnsi="仿宋" w:eastAsia="仿宋"/>
          <w:color w:val="000000" w:themeColor="text1"/>
          <w:sz w:val="32"/>
          <w:szCs w:val="32"/>
        </w:rPr>
        <w:t>使用者</w:t>
      </w:r>
      <w:r>
        <w:rPr>
          <w:rFonts w:ascii="仿宋" w:hAnsi="仿宋" w:eastAsia="仿宋"/>
          <w:color w:val="000000" w:themeColor="text1"/>
          <w:sz w:val="32"/>
          <w:szCs w:val="32"/>
        </w:rPr>
        <w:t>端</w:t>
      </w:r>
      <w:r>
        <w:rPr>
          <w:rFonts w:hint="eastAsia" w:ascii="仿宋" w:hAnsi="仿宋" w:eastAsia="仿宋"/>
          <w:color w:val="000000" w:themeColor="text1"/>
          <w:sz w:val="32"/>
          <w:szCs w:val="32"/>
        </w:rPr>
        <w:t>支撑性</w:t>
      </w:r>
      <w:r>
        <w:rPr>
          <w:rFonts w:ascii="仿宋" w:hAnsi="仿宋" w:eastAsia="仿宋"/>
          <w:color w:val="000000" w:themeColor="text1"/>
          <w:sz w:val="32"/>
          <w:szCs w:val="32"/>
        </w:rPr>
        <w:t>较强，</w:t>
      </w:r>
      <w:bookmarkStart w:id="10" w:name="OLE_LINK5"/>
      <w:bookmarkStart w:id="11" w:name="OLE_LINK6"/>
      <w:r>
        <w:rPr>
          <w:rFonts w:hint="eastAsia" w:ascii="仿宋" w:hAnsi="仿宋" w:eastAsia="仿宋"/>
          <w:color w:val="000000" w:themeColor="text1"/>
          <w:sz w:val="32"/>
          <w:szCs w:val="32"/>
        </w:rPr>
        <w:t>该项可不</w:t>
      </w:r>
      <w:bookmarkEnd w:id="10"/>
      <w:bookmarkEnd w:id="11"/>
      <w:r>
        <w:rPr>
          <w:rFonts w:ascii="仿宋" w:hAnsi="仿宋" w:eastAsia="仿宋"/>
          <w:color w:val="000000" w:themeColor="text1"/>
          <w:sz w:val="32"/>
          <w:szCs w:val="32"/>
        </w:rPr>
        <w:t>适用。</w:t>
      </w:r>
    </w:p>
    <w:p>
      <w:pPr>
        <w:numPr>
          <w:ilvl w:val="0"/>
          <w:numId w:val="4"/>
        </w:numPr>
        <w:spacing w:line="560" w:lineRule="exact"/>
        <w:ind w:left="0"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、弯曲试验（可参考YY 0450.1-2020）。</w:t>
      </w:r>
    </w:p>
    <w:p>
      <w:pPr>
        <w:spacing w:line="560" w:lineRule="exact"/>
        <w:ind w:left="640" w:firstLine="480" w:firstLineChars="150"/>
        <w:rPr>
          <w:rFonts w:ascii="仿宋_GB2312" w:hAnsi="Times New Roman" w:eastAsia="仿宋_GB2312" w:cs="Times New Roman"/>
          <w:color w:val="000000" w:themeColor="text1"/>
          <w:sz w:val="32"/>
          <w:szCs w:val="20"/>
        </w:rPr>
      </w:pPr>
      <w:r>
        <w:rPr>
          <w:rFonts w:hint="eastAsia" w:ascii="仿宋" w:hAnsi="仿宋" w:eastAsia="仿宋"/>
          <w:color w:val="000000" w:themeColor="text1"/>
          <w:sz w:val="32"/>
          <w:szCs w:val="32"/>
        </w:rPr>
        <w:t>注：对于硬质导丝（如仅用于经皮肾镜手术中的J型导丝）</w:t>
      </w:r>
      <w:r>
        <w:rPr>
          <w:rFonts w:ascii="仿宋" w:hAnsi="仿宋" w:eastAsia="仿宋"/>
          <w:color w:val="000000" w:themeColor="text1"/>
          <w:sz w:val="32"/>
          <w:szCs w:val="32"/>
        </w:rPr>
        <w:t>，</w:t>
      </w:r>
      <w:r>
        <w:rPr>
          <w:rFonts w:hint="eastAsia" w:ascii="仿宋" w:hAnsi="仿宋" w:eastAsia="仿宋"/>
          <w:color w:val="000000" w:themeColor="text1"/>
          <w:sz w:val="32"/>
          <w:szCs w:val="32"/>
        </w:rPr>
        <w:t>使用者</w:t>
      </w:r>
      <w:r>
        <w:rPr>
          <w:rFonts w:ascii="仿宋" w:hAnsi="仿宋" w:eastAsia="仿宋"/>
          <w:color w:val="000000" w:themeColor="text1"/>
          <w:sz w:val="32"/>
          <w:szCs w:val="32"/>
        </w:rPr>
        <w:t>端</w:t>
      </w:r>
      <w:r>
        <w:rPr>
          <w:rFonts w:hint="eastAsia" w:ascii="仿宋" w:hAnsi="仿宋" w:eastAsia="仿宋"/>
          <w:color w:val="000000" w:themeColor="text1"/>
          <w:sz w:val="32"/>
          <w:szCs w:val="32"/>
        </w:rPr>
        <w:t>支撑性</w:t>
      </w:r>
      <w:r>
        <w:rPr>
          <w:rFonts w:ascii="仿宋" w:hAnsi="仿宋" w:eastAsia="仿宋"/>
          <w:color w:val="000000" w:themeColor="text1"/>
          <w:sz w:val="32"/>
          <w:szCs w:val="32"/>
        </w:rPr>
        <w:t>较强，</w:t>
      </w:r>
      <w:r>
        <w:rPr>
          <w:rFonts w:hint="eastAsia" w:ascii="仿宋" w:hAnsi="仿宋" w:eastAsia="仿宋"/>
          <w:color w:val="000000" w:themeColor="text1"/>
          <w:sz w:val="32"/>
          <w:szCs w:val="32"/>
        </w:rPr>
        <w:t>该项可不</w:t>
      </w:r>
      <w:r>
        <w:rPr>
          <w:rFonts w:ascii="仿宋" w:hAnsi="仿宋" w:eastAsia="仿宋"/>
          <w:color w:val="000000" w:themeColor="text1"/>
          <w:sz w:val="32"/>
          <w:szCs w:val="32"/>
        </w:rPr>
        <w:t>适用。</w:t>
      </w:r>
    </w:p>
    <w:p>
      <w:pPr>
        <w:spacing w:line="560" w:lineRule="exact"/>
        <w:ind w:left="640" w:firstLine="480" w:firstLineChars="150"/>
        <w:rPr>
          <w:rFonts w:ascii="仿宋" w:hAnsi="仿宋" w:eastAsia="仿宋"/>
          <w:color w:val="000000" w:themeColor="text1"/>
          <w:sz w:val="32"/>
          <w:szCs w:val="32"/>
        </w:rPr>
      </w:pPr>
      <w:r>
        <w:rPr>
          <w:rFonts w:hint="eastAsia" w:ascii="仿宋_GB2312" w:hAnsi="Times New Roman" w:eastAsia="仿宋_GB2312" w:cs="Times New Roman"/>
          <w:color w:val="000000" w:themeColor="text1"/>
          <w:sz w:val="32"/>
          <w:szCs w:val="20"/>
        </w:rPr>
        <w:t>对于硬质导丝（如仅用于经皮肾镜手术中的J型导丝），应补充刚性指标的要求。如：</w:t>
      </w:r>
      <w:r>
        <w:rPr>
          <w:rFonts w:ascii="仿宋_GB2312" w:hAnsi="Times New Roman" w:eastAsia="仿宋_GB2312" w:cs="Times New Roman"/>
          <w:color w:val="000000" w:themeColor="text1"/>
          <w:sz w:val="32"/>
          <w:szCs w:val="20"/>
        </w:rPr>
        <w:t>导丝</w:t>
      </w:r>
      <w:r>
        <w:rPr>
          <w:rFonts w:hint="eastAsia" w:ascii="仿宋_GB2312" w:hAnsi="Times New Roman" w:eastAsia="仿宋_GB2312" w:cs="Times New Roman"/>
          <w:color w:val="000000" w:themeColor="text1"/>
          <w:sz w:val="32"/>
          <w:szCs w:val="20"/>
        </w:rPr>
        <w:t>空载挠度应小于</w:t>
      </w:r>
      <w:r>
        <w:rPr>
          <w:rFonts w:ascii="仿宋_GB2312" w:hAnsi="Times New Roman" w:eastAsia="仿宋_GB2312" w:cs="Times New Roman"/>
          <w:color w:val="000000" w:themeColor="text1"/>
          <w:sz w:val="32"/>
          <w:szCs w:val="20"/>
        </w:rPr>
        <w:t>35</w:t>
      </w:r>
      <w:r>
        <w:rPr>
          <w:rFonts w:hint="eastAsia" w:ascii="仿宋_GB2312" w:hAnsi="Times New Roman" w:eastAsia="仿宋_GB2312" w:cs="Times New Roman"/>
          <w:color w:val="000000" w:themeColor="text1"/>
          <w:sz w:val="32"/>
          <w:szCs w:val="20"/>
        </w:rPr>
        <w:t>厘米</w:t>
      </w:r>
      <w:r>
        <w:rPr>
          <w:rFonts w:ascii="仿宋_GB2312" w:hAnsi="Times New Roman" w:eastAsia="仿宋_GB2312" w:cs="Times New Roman"/>
          <w:color w:val="000000" w:themeColor="text1"/>
          <w:sz w:val="32"/>
          <w:szCs w:val="20"/>
        </w:rPr>
        <w:t>。</w:t>
      </w:r>
    </w:p>
    <w:p>
      <w:pPr>
        <w:numPr>
          <w:ilvl w:val="0"/>
          <w:numId w:val="4"/>
        </w:numPr>
        <w:spacing w:line="560" w:lineRule="exact"/>
        <w:ind w:left="0"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、射线可探测性。</w:t>
      </w:r>
    </w:p>
    <w:p>
      <w:pPr>
        <w:numPr>
          <w:ilvl w:val="0"/>
          <w:numId w:val="4"/>
        </w:numPr>
        <w:spacing w:line="560" w:lineRule="exact"/>
        <w:ind w:left="0"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、化学性能。</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根据不同材料特性及工艺条件，决定具体的化学性能研究项目，如酸碱度、紫外吸光度、还原物质、蒸发残渣、重金属含量等，具体指标的选择可以参照相应的国家、行业标准</w:t>
      </w:r>
      <w:r>
        <w:rPr>
          <w:rFonts w:hint="eastAsia" w:ascii="仿宋" w:hAnsi="仿宋" w:eastAsia="仿宋"/>
          <w:bCs/>
          <w:color w:val="000000" w:themeColor="text1"/>
          <w:sz w:val="32"/>
          <w:szCs w:val="32"/>
        </w:rPr>
        <w:t>及已上市同类产品情况</w:t>
      </w:r>
      <w:r>
        <w:rPr>
          <w:rFonts w:hint="eastAsia" w:ascii="仿宋" w:hAnsi="仿宋" w:eastAsia="仿宋"/>
          <w:color w:val="000000" w:themeColor="text1"/>
          <w:sz w:val="32"/>
          <w:szCs w:val="32"/>
        </w:rPr>
        <w:t>。用环氧乙烷灭菌的产品应规定环氧乙烷残留量的要求。</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涂覆PVP涂层产品，涂层材料导致还原物质测试结果异常时，建议对不涂覆涂层的产品进行测试，确认其化学性能试验结果是否受到涂层的干扰，同时结合涂层材料的临床应用史及生物相容性数据，综合评价,不需在产品技术要求中制定还原物质要求。</w:t>
      </w:r>
    </w:p>
    <w:p>
      <w:pPr>
        <w:numPr>
          <w:ilvl w:val="0"/>
          <w:numId w:val="4"/>
        </w:numPr>
        <w:spacing w:line="560" w:lineRule="exact"/>
        <w:ind w:left="0" w:firstLine="640" w:firstLineChars="200"/>
        <w:rPr>
          <w:rFonts w:ascii="仿宋" w:hAnsi="仿宋" w:eastAsia="仿宋"/>
          <w:color w:val="000000" w:themeColor="text1"/>
          <w:sz w:val="32"/>
          <w:szCs w:val="32"/>
          <w:highlight w:val="none"/>
        </w:rPr>
      </w:pPr>
      <w:r>
        <w:rPr>
          <w:rFonts w:hint="eastAsia" w:ascii="仿宋" w:hAnsi="仿宋" w:eastAsia="仿宋"/>
          <w:color w:val="000000" w:themeColor="text1"/>
          <w:sz w:val="32"/>
          <w:szCs w:val="32"/>
          <w:highlight w:val="none"/>
        </w:rPr>
        <w:t>、产品应无菌。</w:t>
      </w:r>
      <w:r>
        <w:rPr>
          <w:rFonts w:hint="eastAsia" w:ascii="仿宋" w:hAnsi="仿宋" w:eastAsia="仿宋"/>
          <w:color w:val="000000" w:themeColor="text1"/>
          <w:sz w:val="32"/>
          <w:szCs w:val="32"/>
          <w:highlight w:val="none"/>
          <w:lang w:eastAsia="zh-CN"/>
        </w:rPr>
        <w:t>（</w:t>
      </w:r>
      <w:r>
        <w:rPr>
          <w:rFonts w:hint="eastAsia" w:ascii="仿宋" w:hAnsi="仿宋" w:eastAsia="仿宋"/>
          <w:color w:val="000000" w:themeColor="text1"/>
          <w:sz w:val="32"/>
          <w:szCs w:val="32"/>
          <w:highlight w:val="none"/>
          <w:lang w:val="en-US" w:eastAsia="zh-CN"/>
        </w:rPr>
        <w:t>如适用</w:t>
      </w:r>
      <w:r>
        <w:rPr>
          <w:rFonts w:hint="eastAsia" w:ascii="仿宋" w:hAnsi="仿宋" w:eastAsia="仿宋"/>
          <w:color w:val="000000" w:themeColor="text1"/>
          <w:sz w:val="32"/>
          <w:szCs w:val="32"/>
          <w:highlight w:val="none"/>
          <w:lang w:eastAsia="zh-CN"/>
        </w:rPr>
        <w:t>）</w:t>
      </w:r>
    </w:p>
    <w:p>
      <w:pPr>
        <w:numPr>
          <w:ilvl w:val="0"/>
          <w:numId w:val="4"/>
        </w:numPr>
        <w:spacing w:line="560" w:lineRule="exact"/>
        <w:ind w:left="0"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、对于芯丝中与人体腔道有接触的金属部分，除满足通用要求外，技术指标还应包括：耐腐蚀性。</w:t>
      </w:r>
    </w:p>
    <w:p>
      <w:pPr>
        <w:numPr>
          <w:ilvl w:val="0"/>
          <w:numId w:val="4"/>
        </w:numPr>
        <w:spacing w:line="560" w:lineRule="exact"/>
        <w:ind w:left="0" w:firstLine="640" w:firstLineChars="200"/>
        <w:rPr>
          <w:rFonts w:ascii="仿宋_GB2312" w:hAnsi="仿宋" w:eastAsia="仿宋_GB2312" w:cs="Times New Roman"/>
          <w:color w:val="000000" w:themeColor="text1"/>
          <w:sz w:val="32"/>
          <w:szCs w:val="32"/>
        </w:rPr>
      </w:pPr>
      <w:r>
        <w:rPr>
          <w:rFonts w:hint="eastAsia" w:ascii="仿宋" w:hAnsi="仿宋" w:eastAsia="仿宋"/>
          <w:color w:val="000000" w:themeColor="text1"/>
          <w:sz w:val="32"/>
          <w:szCs w:val="32"/>
        </w:rPr>
        <w:t>、根据产品宣称的技术特点制定的其他性能要求。</w:t>
      </w:r>
    </w:p>
    <w:p>
      <w:pPr>
        <w:spacing w:line="520" w:lineRule="exact"/>
        <w:ind w:firstLine="640" w:firstLineChars="200"/>
        <w:rPr>
          <w:rFonts w:ascii="楷体_GB2312" w:hAnsi="楷体" w:eastAsia="楷体_GB2312"/>
          <w:color w:val="000000" w:themeColor="text1"/>
          <w:sz w:val="32"/>
          <w:szCs w:val="32"/>
        </w:rPr>
      </w:pPr>
      <w:r>
        <w:rPr>
          <w:rFonts w:hint="eastAsia" w:ascii="楷体_GB2312" w:hAnsi="楷体" w:eastAsia="楷体_GB2312"/>
          <w:color w:val="000000" w:themeColor="text1"/>
          <w:sz w:val="32"/>
          <w:szCs w:val="32"/>
          <w:highlight w:val="none"/>
        </w:rPr>
        <w:t>（九）同一注册单元内注册检验代表产品确定原则和实例</w:t>
      </w:r>
    </w:p>
    <w:p>
      <w:pPr>
        <w:spacing w:line="560" w:lineRule="exact"/>
        <w:ind w:firstLine="640" w:firstLineChars="200"/>
        <w:rPr>
          <w:rFonts w:ascii="仿宋" w:hAnsi="仿宋" w:eastAsia="仿宋"/>
          <w:bCs/>
          <w:color w:val="000000" w:themeColor="text1"/>
          <w:sz w:val="32"/>
          <w:szCs w:val="32"/>
        </w:rPr>
      </w:pPr>
      <w:r>
        <w:rPr>
          <w:rFonts w:hint="eastAsia" w:ascii="仿宋" w:hAnsi="仿宋" w:eastAsia="仿宋"/>
          <w:bCs/>
          <w:color w:val="000000" w:themeColor="text1"/>
          <w:sz w:val="32"/>
          <w:szCs w:val="32"/>
        </w:rPr>
        <w:t>若申报的产品包括多个型号，产品检验选取的典型性型号应当能代表本注册单元内其它产品的安全性和有效性，并说明典型性型号选择的依据。组成材料、结构、性能等具有差异的产品，建议分别选取典型性型号，进行差异性检测。</w:t>
      </w:r>
      <w:r>
        <w:rPr>
          <w:rFonts w:hint="eastAsia" w:ascii="仿宋" w:hAnsi="仿宋" w:eastAsia="仿宋"/>
          <w:color w:val="000000" w:themeColor="text1"/>
          <w:sz w:val="32"/>
          <w:szCs w:val="32"/>
        </w:rPr>
        <w:t>例如：</w:t>
      </w:r>
    </w:p>
    <w:p>
      <w:pPr>
        <w:tabs>
          <w:tab w:val="left" w:pos="8040"/>
        </w:tabs>
        <w:spacing w:line="520" w:lineRule="exact"/>
        <w:ind w:firstLine="640" w:firstLineChars="200"/>
        <w:jc w:val="left"/>
        <w:rPr>
          <w:rFonts w:ascii="仿宋" w:hAnsi="仿宋" w:eastAsia="仿宋"/>
          <w:color w:val="000000" w:themeColor="text1"/>
          <w:sz w:val="32"/>
          <w:szCs w:val="32"/>
        </w:rPr>
      </w:pPr>
      <w:r>
        <w:rPr>
          <w:rFonts w:hint="eastAsia" w:ascii="仿宋" w:hAnsi="仿宋" w:eastAsia="仿宋"/>
          <w:color w:val="000000" w:themeColor="text1"/>
          <w:sz w:val="32"/>
          <w:szCs w:val="32"/>
          <w:lang w:val="en-US" w:eastAsia="zh-CN"/>
        </w:rPr>
        <w:t>1</w:t>
      </w:r>
      <w:r>
        <w:rPr>
          <w:rFonts w:hint="eastAsia" w:ascii="仿宋" w:hAnsi="仿宋" w:eastAsia="仿宋"/>
          <w:color w:val="000000" w:themeColor="text1"/>
          <w:sz w:val="32"/>
          <w:szCs w:val="32"/>
        </w:rPr>
        <w:t>.导丝按不同规格划分为不同的型号，应考虑不同规格对检验结果的影响。</w:t>
      </w:r>
    </w:p>
    <w:p>
      <w:pPr>
        <w:tabs>
          <w:tab w:val="left" w:pos="8040"/>
        </w:tabs>
        <w:spacing w:line="520" w:lineRule="exact"/>
        <w:ind w:firstLine="640" w:firstLineChars="200"/>
        <w:jc w:val="left"/>
        <w:rPr>
          <w:rFonts w:ascii="仿宋" w:hAnsi="仿宋" w:eastAsia="仿宋"/>
          <w:color w:val="000000" w:themeColor="text1"/>
          <w:sz w:val="32"/>
          <w:szCs w:val="32"/>
        </w:rPr>
      </w:pPr>
      <w:r>
        <w:rPr>
          <w:rFonts w:hint="eastAsia" w:ascii="仿宋" w:hAnsi="仿宋" w:eastAsia="仿宋"/>
          <w:color w:val="000000" w:themeColor="text1"/>
          <w:sz w:val="32"/>
          <w:szCs w:val="32"/>
          <w:lang w:val="en-US" w:eastAsia="zh-CN"/>
        </w:rPr>
        <w:t>2</w:t>
      </w:r>
      <w:r>
        <w:rPr>
          <w:rFonts w:ascii="仿宋" w:hAnsi="仿宋" w:eastAsia="仿宋"/>
          <w:color w:val="000000" w:themeColor="text1"/>
          <w:sz w:val="32"/>
          <w:szCs w:val="32"/>
        </w:rPr>
        <w:t>.</w:t>
      </w:r>
      <w:r>
        <w:rPr>
          <w:rFonts w:eastAsia="仿宋_GB2312"/>
          <w:color w:val="000000"/>
          <w:sz w:val="32"/>
          <w:szCs w:val="32"/>
          <w:highlight w:val="none"/>
        </w:rPr>
        <w:t>按头端的形状分为：直头导丝、弯头导丝。弯头导丝能代表直头导丝产品的安全性和有效性，能够覆盖直头导丝的产品技术要求，则选择弯头导丝作为典型性样品。</w:t>
      </w:r>
    </w:p>
    <w:p>
      <w:pPr>
        <w:tabs>
          <w:tab w:val="left" w:pos="8040"/>
        </w:tabs>
        <w:spacing w:line="520" w:lineRule="exact"/>
        <w:ind w:firstLine="640" w:firstLineChars="200"/>
        <w:jc w:val="left"/>
        <w:rPr>
          <w:rFonts w:ascii="楷体_GB2312" w:hAnsi="仿宋" w:eastAsia="楷体_GB2312"/>
          <w:color w:val="000000" w:themeColor="text1"/>
          <w:sz w:val="32"/>
          <w:szCs w:val="32"/>
        </w:rPr>
      </w:pPr>
      <w:r>
        <w:rPr>
          <w:rFonts w:hint="eastAsia" w:ascii="楷体_GB2312" w:hAnsi="楷体" w:eastAsia="楷体_GB2312"/>
          <w:color w:val="000000" w:themeColor="text1"/>
          <w:sz w:val="32"/>
          <w:szCs w:val="32"/>
        </w:rPr>
        <w:t>（十）产品生产制造相关要求</w:t>
      </w:r>
    </w:p>
    <w:p>
      <w:pPr>
        <w:tabs>
          <w:tab w:val="left" w:pos="8040"/>
        </w:tabs>
        <w:spacing w:line="520" w:lineRule="exact"/>
        <w:ind w:firstLine="640" w:firstLineChars="200"/>
        <w:jc w:val="left"/>
        <w:rPr>
          <w:rFonts w:ascii="仿宋_GB2312" w:hAnsi="仿宋" w:eastAsia="仿宋_GB2312"/>
          <w:bCs/>
          <w:color w:val="000000" w:themeColor="text1"/>
          <w:sz w:val="32"/>
          <w:szCs w:val="32"/>
        </w:rPr>
      </w:pPr>
      <w:r>
        <w:rPr>
          <w:rFonts w:hint="eastAsia" w:ascii="仿宋_GB2312" w:hAnsi="仿宋" w:eastAsia="仿宋_GB2312"/>
          <w:bCs/>
          <w:color w:val="000000" w:themeColor="text1"/>
          <w:sz w:val="32"/>
          <w:szCs w:val="32"/>
        </w:rPr>
        <w:t>1</w:t>
      </w:r>
      <w:r>
        <w:rPr>
          <w:rFonts w:ascii="仿宋_GB2312" w:hAnsi="仿宋" w:eastAsia="仿宋_GB2312"/>
          <w:bCs/>
          <w:color w:val="000000" w:themeColor="text1"/>
          <w:sz w:val="32"/>
          <w:szCs w:val="32"/>
        </w:rPr>
        <w:t>.</w:t>
      </w:r>
      <w:r>
        <w:rPr>
          <w:rFonts w:hint="eastAsia" w:ascii="仿宋_GB2312" w:hAnsi="仿宋" w:eastAsia="仿宋_GB2312"/>
          <w:bCs/>
          <w:color w:val="000000" w:themeColor="text1"/>
          <w:sz w:val="32"/>
          <w:szCs w:val="32"/>
        </w:rPr>
        <w:t>生产工艺</w:t>
      </w:r>
    </w:p>
    <w:p>
      <w:pPr>
        <w:tabs>
          <w:tab w:val="left" w:pos="8040"/>
        </w:tabs>
        <w:spacing w:line="520" w:lineRule="exact"/>
        <w:ind w:firstLine="640" w:firstLineChars="200"/>
        <w:jc w:val="left"/>
        <w:rPr>
          <w:rFonts w:ascii="仿宋_GB2312" w:hAnsi="仿宋" w:eastAsia="仿宋_GB2312"/>
          <w:bCs/>
          <w:color w:val="000000" w:themeColor="text1"/>
          <w:sz w:val="32"/>
          <w:szCs w:val="32"/>
        </w:rPr>
      </w:pPr>
      <w:r>
        <w:rPr>
          <w:rFonts w:hint="eastAsia" w:ascii="仿宋_GB2312" w:hAnsi="仿宋" w:eastAsia="仿宋_GB2312"/>
          <w:bCs/>
          <w:color w:val="000000" w:themeColor="text1"/>
          <w:sz w:val="32"/>
          <w:szCs w:val="32"/>
        </w:rPr>
        <w:t>应明确</w:t>
      </w:r>
      <w:r>
        <w:rPr>
          <w:rFonts w:hint="eastAsia" w:ascii="仿宋_GB2312" w:hAnsi="仿宋" w:eastAsia="仿宋_GB2312"/>
          <w:color w:val="000000" w:themeColor="text1"/>
          <w:sz w:val="32"/>
          <w:szCs w:val="32"/>
        </w:rPr>
        <w:t>导丝</w:t>
      </w:r>
      <w:r>
        <w:rPr>
          <w:rFonts w:hint="eastAsia" w:ascii="仿宋_GB2312" w:hAnsi="仿宋" w:eastAsia="仿宋_GB2312"/>
          <w:bCs/>
          <w:color w:val="000000" w:themeColor="text1"/>
          <w:sz w:val="32"/>
          <w:szCs w:val="32"/>
        </w:rPr>
        <w:t>产品生产工艺过程，在工艺流程图注明关键工艺和特殊过程，并说明其过程控制点。明确生产过程中各种加工助剂的使用情况及对杂质（如残留单体、小分子残留物等）的控制情况。</w:t>
      </w:r>
    </w:p>
    <w:p>
      <w:pPr>
        <w:tabs>
          <w:tab w:val="left" w:pos="8040"/>
        </w:tabs>
        <w:spacing w:line="520" w:lineRule="exact"/>
        <w:ind w:firstLine="640" w:firstLineChars="200"/>
        <w:jc w:val="left"/>
        <w:rPr>
          <w:rFonts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2.生产场地</w:t>
      </w:r>
    </w:p>
    <w:p>
      <w:pPr>
        <w:tabs>
          <w:tab w:val="left" w:pos="8040"/>
        </w:tabs>
        <w:spacing w:line="520" w:lineRule="exact"/>
        <w:ind w:firstLine="640" w:firstLineChars="200"/>
        <w:jc w:val="left"/>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highlight w:val="none"/>
        </w:rPr>
        <w:t>生产场地的介绍应与生产者资格证明文件和政府批准文件载明事项保持一致。若申报产品具有多个研制、生产场地，应分别说明每个场地的详细情况。</w:t>
      </w:r>
    </w:p>
    <w:p>
      <w:pPr>
        <w:tabs>
          <w:tab w:val="left" w:pos="8040"/>
        </w:tabs>
        <w:spacing w:line="520" w:lineRule="exact"/>
        <w:ind w:firstLine="640" w:firstLineChars="200"/>
        <w:jc w:val="left"/>
        <w:rPr>
          <w:rFonts w:ascii="楷体_GB2312" w:hAnsi="楷体" w:eastAsia="楷体_GB2312"/>
          <w:color w:val="000000" w:themeColor="text1"/>
          <w:sz w:val="32"/>
          <w:szCs w:val="32"/>
        </w:rPr>
      </w:pPr>
      <w:r>
        <w:rPr>
          <w:rFonts w:hint="eastAsia" w:ascii="楷体_GB2312" w:hAnsi="楷体" w:eastAsia="楷体_GB2312"/>
          <w:color w:val="000000" w:themeColor="text1"/>
          <w:sz w:val="32"/>
          <w:szCs w:val="32"/>
        </w:rPr>
        <w:t>（十一）产品的临床评价细化要求</w:t>
      </w:r>
    </w:p>
    <w:p>
      <w:pPr>
        <w:spacing w:line="520" w:lineRule="exact"/>
        <w:ind w:firstLine="640" w:firstLineChars="200"/>
        <w:rPr>
          <w:rFonts w:ascii="仿宋" w:hAnsi="仿宋" w:eastAsia="仿宋"/>
          <w:color w:val="000000" w:themeColor="text1"/>
          <w:sz w:val="32"/>
          <w:szCs w:val="32"/>
          <w:highlight w:val="none"/>
        </w:rPr>
      </w:pPr>
      <w:r>
        <w:rPr>
          <w:rFonts w:ascii="仿宋" w:hAnsi="仿宋" w:eastAsia="仿宋"/>
          <w:color w:val="000000" w:themeColor="text1"/>
          <w:sz w:val="32"/>
          <w:szCs w:val="32"/>
          <w:highlight w:val="none"/>
        </w:rPr>
        <w:t>1</w:t>
      </w:r>
      <w:r>
        <w:rPr>
          <w:rFonts w:hint="eastAsia" w:ascii="仿宋" w:hAnsi="仿宋" w:eastAsia="仿宋"/>
          <w:color w:val="000000" w:themeColor="text1"/>
          <w:sz w:val="32"/>
          <w:szCs w:val="32"/>
          <w:highlight w:val="none"/>
        </w:rPr>
        <w:t>.</w:t>
      </w:r>
      <w:r>
        <w:rPr>
          <w:rFonts w:ascii="仿宋" w:hAnsi="仿宋" w:eastAsia="仿宋"/>
          <w:color w:val="000000" w:themeColor="text1"/>
          <w:sz w:val="32"/>
          <w:szCs w:val="32"/>
          <w:highlight w:val="none"/>
        </w:rPr>
        <w:t>对列入《免于临床评价医疗器械目录》（以下简称目录）的非血管腔道导丝产品，</w:t>
      </w:r>
      <w:r>
        <w:rPr>
          <w:rFonts w:hint="eastAsia" w:ascii="仿宋" w:hAnsi="仿宋" w:eastAsia="仿宋"/>
          <w:color w:val="000000" w:themeColor="text1"/>
          <w:sz w:val="32"/>
          <w:szCs w:val="32"/>
          <w:highlight w:val="none"/>
        </w:rPr>
        <w:t>注册申请人</w:t>
      </w:r>
      <w:r>
        <w:rPr>
          <w:rFonts w:ascii="仿宋" w:hAnsi="仿宋" w:eastAsia="仿宋"/>
          <w:color w:val="000000" w:themeColor="text1"/>
          <w:sz w:val="32"/>
          <w:szCs w:val="32"/>
          <w:highlight w:val="none"/>
        </w:rPr>
        <w:t>无需提交临床评价资料。</w:t>
      </w:r>
    </w:p>
    <w:p>
      <w:pPr>
        <w:spacing w:line="520" w:lineRule="exact"/>
        <w:ind w:firstLine="640" w:firstLineChars="200"/>
        <w:rPr>
          <w:rFonts w:ascii="仿宋" w:hAnsi="仿宋" w:eastAsia="仿宋"/>
          <w:color w:val="000000" w:themeColor="text1"/>
          <w:sz w:val="32"/>
          <w:szCs w:val="32"/>
          <w:highlight w:val="none"/>
        </w:rPr>
      </w:pPr>
      <w:r>
        <w:rPr>
          <w:rFonts w:ascii="仿宋" w:hAnsi="仿宋" w:eastAsia="仿宋"/>
          <w:color w:val="000000" w:themeColor="text1"/>
          <w:sz w:val="32"/>
          <w:szCs w:val="32"/>
          <w:highlight w:val="none"/>
        </w:rPr>
        <w:t>对于申报产品主体材料（包括商品名/牌号）、主体结构与《目录》中已获准境内注册的产品存在差异时，建议在符合临床需求的生理解剖模型中开展模拟使用对比验证，或其他科学的验证方法，以证明差异部分不影响产品的安全性与有效性。</w:t>
      </w:r>
    </w:p>
    <w:p>
      <w:pPr>
        <w:spacing w:line="52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highlight w:val="none"/>
        </w:rPr>
        <w:t>2</w:t>
      </w:r>
      <w:r>
        <w:rPr>
          <w:rFonts w:hint="eastAsia" w:ascii="仿宋" w:hAnsi="仿宋" w:eastAsia="仿宋"/>
          <w:color w:val="000000" w:themeColor="text1"/>
          <w:sz w:val="32"/>
          <w:szCs w:val="32"/>
          <w:highlight w:val="none"/>
        </w:rPr>
        <w:t>.</w:t>
      </w:r>
      <w:r>
        <w:rPr>
          <w:rFonts w:ascii="仿宋" w:hAnsi="仿宋" w:eastAsia="仿宋"/>
          <w:color w:val="000000" w:themeColor="text1"/>
          <w:sz w:val="32"/>
          <w:szCs w:val="32"/>
          <w:highlight w:val="none"/>
        </w:rPr>
        <w:t>对于新型结构设计、新型作用机理、新材料等不属于《目录》的产品，应按照《医疗器械注册管理办法》、《医疗器械临床试验质量管理规范》、《医疗器械临床评价技术指导原则》等法规的相关规定开展临床评价。</w:t>
      </w:r>
    </w:p>
    <w:p>
      <w:pPr>
        <w:spacing w:line="520" w:lineRule="exact"/>
        <w:ind w:firstLine="640" w:firstLineChars="200"/>
        <w:rPr>
          <w:rFonts w:ascii="楷体_GB2312" w:hAnsi="楷体" w:eastAsia="楷体_GB2312"/>
          <w:color w:val="000000" w:themeColor="text1"/>
          <w:sz w:val="32"/>
          <w:szCs w:val="32"/>
        </w:rPr>
      </w:pPr>
      <w:r>
        <w:rPr>
          <w:rFonts w:hint="eastAsia" w:ascii="楷体_GB2312" w:hAnsi="楷体" w:eastAsia="楷体_GB2312"/>
          <w:color w:val="000000" w:themeColor="text1"/>
          <w:sz w:val="32"/>
          <w:szCs w:val="32"/>
        </w:rPr>
        <w:t>（十二）产品的不良事件历史记录</w:t>
      </w:r>
    </w:p>
    <w:p>
      <w:pPr>
        <w:spacing w:line="520" w:lineRule="exact"/>
        <w:ind w:firstLine="640" w:firstLineChars="200"/>
        <w:rPr>
          <w:rFonts w:ascii="仿宋_GB2312" w:hAnsi="楷体" w:eastAsia="仿宋_GB2312"/>
          <w:color w:val="000000" w:themeColor="text1"/>
          <w:sz w:val="32"/>
          <w:szCs w:val="32"/>
        </w:rPr>
      </w:pPr>
      <w:r>
        <w:rPr>
          <w:rFonts w:hint="eastAsia" w:ascii="仿宋_GB2312" w:hAnsi="仿宋" w:eastAsia="仿宋_GB2312"/>
          <w:color w:val="000000" w:themeColor="text1"/>
          <w:sz w:val="32"/>
          <w:szCs w:val="32"/>
        </w:rPr>
        <w:t>暂未见相关报道。</w:t>
      </w:r>
    </w:p>
    <w:p>
      <w:pPr>
        <w:spacing w:line="520" w:lineRule="exact"/>
        <w:ind w:firstLine="640" w:firstLineChars="200"/>
        <w:rPr>
          <w:rFonts w:ascii="楷体_GB2312" w:hAnsi="楷体" w:eastAsia="楷体_GB2312"/>
          <w:color w:val="000000" w:themeColor="text1"/>
          <w:sz w:val="32"/>
          <w:szCs w:val="32"/>
        </w:rPr>
      </w:pPr>
      <w:r>
        <w:rPr>
          <w:rFonts w:hint="eastAsia" w:ascii="楷体_GB2312" w:hAnsi="楷体" w:eastAsia="楷体_GB2312"/>
          <w:color w:val="000000" w:themeColor="text1"/>
          <w:sz w:val="32"/>
          <w:szCs w:val="32"/>
        </w:rPr>
        <w:t>（十三）产品说明书和标签要求</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产品说明书、标签应当符合《医疗器械说明书和标签管理规定》（国家食品药品监督管理总局令第6号）、YY/T 0466.1-2016《医疗器械 用于医疗器械标签、标记和提供信息的符号 第1部分：通用要求》的要求。同时包装信息可参考YY 0450.1-2020《一次性使用无菌血管内导管辅件 第1部分：导引器械》标准中适用部分。</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说明书中关于产品性能特征的描述不应超出研究资料及产品技术要求，不得含有未经验证的夸大宣传的相关描述；储存和运输条件不应超出产品货架有效期验证范围。</w:t>
      </w:r>
    </w:p>
    <w:p>
      <w:pPr>
        <w:spacing w:line="560" w:lineRule="exact"/>
        <w:ind w:right="-67" w:rightChars="-32"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注意事项应包括以下内容：</w:t>
      </w:r>
    </w:p>
    <w:p>
      <w:pPr>
        <w:widowControl/>
        <w:numPr>
          <w:ilvl w:val="0"/>
          <w:numId w:val="5"/>
        </w:numPr>
        <w:spacing w:line="560" w:lineRule="exact"/>
        <w:ind w:right="-67" w:rightChars="-32" w:firstLine="640" w:firstLineChars="200"/>
        <w:textAlignment w:val="baseline"/>
        <w:rPr>
          <w:rStyle w:val="35"/>
          <w:rFonts w:ascii="仿宋" w:hAnsi="仿宋" w:eastAsia="仿宋"/>
          <w:color w:val="000000" w:themeColor="text1"/>
          <w:sz w:val="32"/>
          <w:szCs w:val="32"/>
        </w:rPr>
      </w:pPr>
      <w:r>
        <w:rPr>
          <w:rStyle w:val="35"/>
          <w:rFonts w:hint="eastAsia" w:ascii="仿宋" w:hAnsi="仿宋" w:eastAsia="仿宋"/>
          <w:color w:val="000000" w:themeColor="text1"/>
          <w:sz w:val="32"/>
          <w:szCs w:val="32"/>
        </w:rPr>
        <w:t>使用前首先阅读说明书，了解使用方法；</w:t>
      </w:r>
    </w:p>
    <w:p>
      <w:pPr>
        <w:widowControl/>
        <w:numPr>
          <w:ilvl w:val="0"/>
          <w:numId w:val="5"/>
        </w:numPr>
        <w:spacing w:line="560" w:lineRule="exact"/>
        <w:ind w:right="-67" w:rightChars="-32" w:firstLine="640" w:firstLineChars="200"/>
        <w:textAlignment w:val="baseline"/>
        <w:rPr>
          <w:rStyle w:val="35"/>
          <w:rFonts w:ascii="仿宋" w:hAnsi="仿宋" w:eastAsia="仿宋"/>
          <w:color w:val="000000" w:themeColor="text1"/>
          <w:sz w:val="32"/>
          <w:szCs w:val="32"/>
        </w:rPr>
      </w:pPr>
      <w:r>
        <w:rPr>
          <w:rStyle w:val="35"/>
          <w:rFonts w:hint="eastAsia" w:ascii="仿宋" w:hAnsi="仿宋" w:eastAsia="仿宋"/>
          <w:color w:val="000000" w:themeColor="text1"/>
          <w:sz w:val="32"/>
          <w:szCs w:val="32"/>
        </w:rPr>
        <w:t>包装如有破损、脏污、潮湿等异常情况禁止使用；</w:t>
      </w:r>
    </w:p>
    <w:p>
      <w:pPr>
        <w:widowControl/>
        <w:numPr>
          <w:ilvl w:val="0"/>
          <w:numId w:val="5"/>
        </w:numPr>
        <w:spacing w:line="560" w:lineRule="exact"/>
        <w:ind w:right="-67" w:rightChars="-32" w:firstLine="640" w:firstLineChars="200"/>
        <w:textAlignment w:val="baseline"/>
        <w:rPr>
          <w:rStyle w:val="35"/>
          <w:rFonts w:ascii="仿宋" w:hAnsi="仿宋" w:eastAsia="仿宋"/>
          <w:color w:val="000000" w:themeColor="text1"/>
          <w:sz w:val="32"/>
          <w:szCs w:val="32"/>
        </w:rPr>
      </w:pPr>
      <w:r>
        <w:rPr>
          <w:rStyle w:val="35"/>
          <w:rFonts w:hint="eastAsia" w:ascii="仿宋" w:hAnsi="仿宋" w:eastAsia="仿宋"/>
          <w:color w:val="000000" w:themeColor="text1"/>
          <w:sz w:val="32"/>
          <w:szCs w:val="32"/>
        </w:rPr>
        <w:t>操作者应为专业人员；</w:t>
      </w:r>
    </w:p>
    <w:p>
      <w:pPr>
        <w:widowControl/>
        <w:numPr>
          <w:ilvl w:val="0"/>
          <w:numId w:val="5"/>
        </w:numPr>
        <w:spacing w:line="560" w:lineRule="exact"/>
        <w:ind w:right="-67" w:rightChars="-32" w:firstLine="640" w:firstLineChars="200"/>
        <w:textAlignment w:val="baseline"/>
        <w:rPr>
          <w:rStyle w:val="35"/>
          <w:rFonts w:ascii="仿宋" w:hAnsi="仿宋" w:eastAsia="仿宋"/>
          <w:color w:val="000000" w:themeColor="text1"/>
          <w:sz w:val="32"/>
          <w:szCs w:val="32"/>
        </w:rPr>
      </w:pPr>
      <w:r>
        <w:rPr>
          <w:rStyle w:val="35"/>
          <w:rFonts w:hint="eastAsia" w:ascii="仿宋" w:hAnsi="仿宋" w:eastAsia="仿宋"/>
          <w:color w:val="000000" w:themeColor="text1"/>
          <w:sz w:val="32"/>
          <w:szCs w:val="32"/>
        </w:rPr>
        <w:t>一次性使用（如适用）；</w:t>
      </w:r>
    </w:p>
    <w:p>
      <w:pPr>
        <w:widowControl/>
        <w:numPr>
          <w:ilvl w:val="0"/>
          <w:numId w:val="5"/>
        </w:numPr>
        <w:spacing w:line="560" w:lineRule="exact"/>
        <w:ind w:right="-67" w:rightChars="-32" w:firstLine="640" w:firstLineChars="200"/>
        <w:textAlignment w:val="baseline"/>
        <w:rPr>
          <w:rStyle w:val="35"/>
          <w:rFonts w:ascii="仿宋" w:hAnsi="仿宋" w:eastAsia="仿宋"/>
          <w:color w:val="000000" w:themeColor="text1"/>
          <w:sz w:val="32"/>
          <w:szCs w:val="32"/>
        </w:rPr>
      </w:pPr>
      <w:r>
        <w:rPr>
          <w:rStyle w:val="35"/>
          <w:rFonts w:hint="eastAsia" w:ascii="仿宋" w:hAnsi="仿宋" w:eastAsia="仿宋"/>
          <w:color w:val="000000" w:themeColor="text1"/>
          <w:sz w:val="32"/>
          <w:szCs w:val="32"/>
        </w:rPr>
        <w:t>产品应在有效期内使用，超出有效期严禁使用；</w:t>
      </w:r>
    </w:p>
    <w:p>
      <w:pPr>
        <w:widowControl/>
        <w:numPr>
          <w:ilvl w:val="0"/>
          <w:numId w:val="5"/>
        </w:numPr>
        <w:spacing w:line="560" w:lineRule="exact"/>
        <w:ind w:right="-67" w:rightChars="-32" w:firstLine="640" w:firstLineChars="200"/>
        <w:textAlignment w:val="baseline"/>
        <w:rPr>
          <w:rStyle w:val="35"/>
          <w:rFonts w:ascii="仿宋" w:hAnsi="仿宋" w:eastAsia="仿宋"/>
          <w:color w:val="000000" w:themeColor="text1"/>
          <w:sz w:val="32"/>
          <w:szCs w:val="32"/>
        </w:rPr>
      </w:pPr>
      <w:r>
        <w:rPr>
          <w:rStyle w:val="35"/>
          <w:rFonts w:hint="eastAsia" w:ascii="仿宋" w:hAnsi="仿宋" w:eastAsia="仿宋"/>
          <w:color w:val="000000" w:themeColor="text1"/>
          <w:sz w:val="32"/>
          <w:szCs w:val="32"/>
        </w:rPr>
        <w:t>本产品在使用过程中请勿随意改变其结构，如剪断产品后用于其他用途。</w:t>
      </w:r>
    </w:p>
    <w:p>
      <w:pPr>
        <w:widowControl/>
        <w:numPr>
          <w:ilvl w:val="0"/>
          <w:numId w:val="5"/>
        </w:numPr>
        <w:spacing w:line="560" w:lineRule="exact"/>
        <w:ind w:right="-67" w:rightChars="-32" w:firstLine="640" w:firstLineChars="200"/>
        <w:textAlignment w:val="baseline"/>
        <w:rPr>
          <w:rStyle w:val="35"/>
          <w:rFonts w:ascii="仿宋" w:hAnsi="仿宋" w:eastAsia="仿宋"/>
          <w:color w:val="000000" w:themeColor="text1"/>
          <w:sz w:val="32"/>
          <w:szCs w:val="32"/>
        </w:rPr>
      </w:pPr>
      <w:r>
        <w:rPr>
          <w:rStyle w:val="35"/>
          <w:rFonts w:hint="eastAsia" w:ascii="仿宋" w:hAnsi="仿宋" w:eastAsia="仿宋"/>
          <w:color w:val="000000" w:themeColor="text1"/>
          <w:sz w:val="32"/>
          <w:szCs w:val="32"/>
        </w:rPr>
        <w:t>明确灭菌方式</w:t>
      </w:r>
    </w:p>
    <w:p>
      <w:pPr>
        <w:spacing w:line="520" w:lineRule="exact"/>
        <w:ind w:firstLine="640" w:firstLineChars="200"/>
        <w:rPr>
          <w:rFonts w:ascii="楷体_GB2312" w:hAnsi="楷体" w:eastAsia="楷体_GB2312"/>
          <w:color w:val="000000" w:themeColor="text1"/>
          <w:sz w:val="32"/>
          <w:szCs w:val="32"/>
        </w:rPr>
      </w:pPr>
      <w:r>
        <w:rPr>
          <w:rFonts w:hint="eastAsia" w:ascii="楷体_GB2312" w:hAnsi="楷体" w:eastAsia="楷体_GB2312"/>
          <w:color w:val="000000" w:themeColor="text1"/>
          <w:sz w:val="32"/>
          <w:szCs w:val="32"/>
        </w:rPr>
        <w:t>(十四)研究资料</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应当从技术层面论述申报产品的原材料控制、设计、技术特征、产品性能指标及制订依据、生物相容性评价研究、灭菌工艺研究、有效期和包装研究等内容。至少应包含但不限于以下内容：</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1.原材料控制</w:t>
      </w:r>
    </w:p>
    <w:p>
      <w:pPr>
        <w:spacing w:line="560" w:lineRule="exact"/>
        <w:ind w:firstLine="640" w:firstLineChars="200"/>
        <w:rPr>
          <w:rFonts w:ascii="仿宋" w:hAnsi="仿宋" w:eastAsia="仿宋"/>
          <w:strike/>
          <w:color w:val="000000" w:themeColor="text1"/>
          <w:sz w:val="32"/>
          <w:szCs w:val="32"/>
        </w:rPr>
      </w:pPr>
      <w:r>
        <w:rPr>
          <w:rFonts w:hint="eastAsia" w:ascii="仿宋" w:hAnsi="仿宋" w:eastAsia="仿宋"/>
          <w:color w:val="000000" w:themeColor="text1"/>
          <w:sz w:val="32"/>
          <w:szCs w:val="32"/>
        </w:rPr>
        <w:t>说明原材料的选择依据，明确产品的起始材料，列明产品生产过程中由起始材料至终产品所需全部材料（包括加工助剂等）的基本信息，如名称、符合的标准、主要技术要求等，列明涂层主要化学成分和比例信息。原材料应具有稳定的供货渠道以保证产品质量，需提供原材料生产厂家的资质证明及外购协议，所用原材料的质量控制标准和检验报告。应明确列出需包括涂层及制造过程中使用的焊接剂、粘合剂、着色剂等。建议产品组成材料以列表的形式提供，并与产品结构图示中标识的部件一一对应。对于部件结构采用分层/分段结构,逐层/逐段分别进行描述。若产品组成材料为混合物，建议明确各组分及其比例。</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对于首次应用于医疗器械的新材料，应提供该材料适合用于产品预期用途的相关研究资料，可参考《无源植入性医疗器械注册申报资料指导原则》提供该材料适于人体使用的相关研究资料，如新材料的生物相容性研究资料，毒理学分析，可沥滤物分析，临床应用史等。</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2.产品性能研究</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产品功能性、安全性指标以及与质量控制相关的其他指标可参考YY 0450.1-2020 及相关国行标予以确定。应当提供产品</w:t>
      </w:r>
      <w:r>
        <w:rPr>
          <w:rFonts w:hint="eastAsia" w:ascii="仿宋" w:hAnsi="仿宋" w:eastAsia="仿宋" w:cs="仿宋"/>
          <w:color w:val="000000" w:themeColor="text1"/>
          <w:sz w:val="32"/>
          <w:szCs w:val="32"/>
        </w:rPr>
        <w:t>技术要求中的性能指标及检验方法确定依据，对于自建方法，宜提供相应的依据及方法学验证资料</w:t>
      </w:r>
      <w:r>
        <w:rPr>
          <w:rFonts w:hint="eastAsia" w:ascii="仿宋" w:hAnsi="仿宋" w:eastAsia="仿宋"/>
          <w:color w:val="000000" w:themeColor="text1"/>
          <w:sz w:val="32"/>
          <w:szCs w:val="32"/>
        </w:rPr>
        <w:t>。性能研究宜采用终产品，选择典型产品，研究项目所用样本数量需结合统计学考虑，同时结合风险和伤害情况确定样本量，并对验证结果进行统计学分析。产品的性能研究应不限于所列举项目，申请人应根据具体产品特性，考虑需增加的性能研究项目，对于以下列举的项目中，如有不适用项，应说明具体理由。</w:t>
      </w:r>
      <w:r>
        <w:rPr>
          <w:rFonts w:hint="eastAsia" w:ascii="仿宋" w:hAnsi="仿宋" w:eastAsia="仿宋" w:cs="仿宋"/>
          <w:color w:val="000000" w:themeColor="text1"/>
          <w:sz w:val="32"/>
          <w:szCs w:val="32"/>
        </w:rPr>
        <w:t>对于可进行客观判定的成品的功能性、安全性指标以及质量控制相关的其他指标，应将其列入产品技术要求。</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（1）设计特征</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应列明产品各部件的名称、材料、结构和功能，提供图样，内容应足够详尽。提交各部件功能与实现功能的工作原理、途径与技术指标的制定依据与验证的详细描述。如产品具有特殊结构、组件、功能等，应提供相应结构特征、参数和性能分析，以及针对性设计和验证的内容。</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产品设计验证建议还包括对适用人群生理特点的分析，以及针对性设计输出的内容。</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olor w:val="000000" w:themeColor="text1"/>
          <w:sz w:val="32"/>
          <w:szCs w:val="32"/>
        </w:rPr>
        <w:t>产品在腔内起到的作用有入路、到达病变、通过病变以及输送腔内器具。根据这四部分作用，建议提供模拟使用性能的验证文件，如推送性、支撑性、操控性、柔顺性。</w:t>
      </w:r>
      <w:r>
        <w:rPr>
          <w:rFonts w:hint="eastAsia" w:ascii="仿宋" w:hAnsi="仿宋" w:eastAsia="仿宋" w:cs="仿宋"/>
          <w:color w:val="000000" w:themeColor="text1"/>
          <w:sz w:val="32"/>
          <w:szCs w:val="32"/>
        </w:rPr>
        <w:t>与已上市产品对比，材料、结构、用途等都相同的，可以不做研究。</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 物理特性</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应有各部件外观，尺寸（</w:t>
      </w:r>
      <w:r>
        <w:rPr>
          <w:rFonts w:hint="eastAsia" w:ascii="仿宋" w:hAnsi="仿宋" w:eastAsia="仿宋" w:cs="仿宋"/>
          <w:color w:val="000000" w:themeColor="text1"/>
          <w:sz w:val="32"/>
          <w:szCs w:val="32"/>
        </w:rPr>
        <w:t>如外径、长度等</w:t>
      </w:r>
      <w:r>
        <w:rPr>
          <w:rFonts w:hint="eastAsia" w:ascii="仿宋" w:hAnsi="仿宋" w:eastAsia="仿宋"/>
          <w:color w:val="000000" w:themeColor="text1"/>
          <w:sz w:val="32"/>
          <w:szCs w:val="32"/>
        </w:rPr>
        <w:t>），导丝的抗弯曲性（硬质导丝不适用）、抗破裂性（硬质导丝不适用）、峰值拉力（导丝上会导致失效的关键连接处）、耐腐蚀性（对于芯丝中与人体腔道有接触的金属部分）、射线可探测性等指标。如包含特殊组件、结构和功能，应规定相关要求。</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（3）化学性能要求</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根据不同材料特性及工艺条件，决定具体的化学性能研究项目，如酸碱度、紫外吸光度、还原物质、蒸发残渣、重金属含量等，如有不适用，请说明原因，并提供相关研究资料。采用环氧乙烷灭菌的产品，需对环氧乙烷及2-氯乙醇（如适用）残留量进行研究。</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如材料配方中使用了已知的潜在毒性物质，如特殊原材料的化学添加物、粘合剂等物质、增塑剂等，建议选择相应物质用量最大的使用型号，采用适宜浸提溶液，以及经过方法学验证的检测方法，检测其溶出总量，并进行人体使用安全性评估，或提供相同材料配方的同类产品的安全使用支持文件。</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（4）其他性能要求</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包括无菌要求及根据产品宣称的技术特点制定的其他性能要求。</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3.生物相容性评价研究</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生物相容性评价研究资料应当包括：生物相容性评价的依据和方法；产品所用材料的描述及与人体接触的性质；实施或豁免生物学试验的理由和论证;对于现有数据或试验结果的评价。若开展生物学评价试验，应按照GB/T 16886.1—2011《医疗器械生物学评价 第1部分：风险管理过程中的评价与试验》标准进行评价，至少进行细胞毒、皮内刺激、致敏性的生物学评价研究。</w:t>
      </w:r>
    </w:p>
    <w:p>
      <w:pPr>
        <w:spacing w:line="560" w:lineRule="exact"/>
        <w:ind w:firstLine="560" w:firstLineChars="175"/>
        <w:rPr>
          <w:rFonts w:ascii="仿宋" w:hAnsi="仿宋" w:eastAsia="仿宋"/>
          <w:color w:val="000000" w:themeColor="text1"/>
          <w:sz w:val="32"/>
          <w:szCs w:val="32"/>
        </w:rPr>
      </w:pPr>
      <w:r>
        <w:rPr>
          <w:rFonts w:hint="eastAsia" w:ascii="仿宋" w:hAnsi="仿宋" w:eastAsia="仿宋"/>
          <w:color w:val="000000" w:themeColor="text1"/>
          <w:sz w:val="32"/>
          <w:szCs w:val="32"/>
        </w:rPr>
        <w:t>4.灭菌工艺研究</w:t>
      </w:r>
    </w:p>
    <w:p>
      <w:pPr>
        <w:spacing w:line="560" w:lineRule="exact"/>
        <w:ind w:firstLine="560"/>
        <w:rPr>
          <w:rFonts w:ascii="仿宋" w:hAnsi="仿宋" w:eastAsia="仿宋"/>
          <w:color w:val="000000" w:themeColor="text1"/>
          <w:sz w:val="32"/>
          <w:szCs w:val="32"/>
        </w:rPr>
      </w:pPr>
      <w:r>
        <w:rPr>
          <w:rFonts w:hint="eastAsia" w:ascii="仿宋" w:hAnsi="仿宋" w:eastAsia="仿宋"/>
          <w:color w:val="000000" w:themeColor="text1"/>
          <w:sz w:val="32"/>
          <w:szCs w:val="32"/>
        </w:rPr>
        <w:t>应明确灭菌工艺（方法和参数）和无菌保证水平（SAL），无菌保证水平需达到10</w:t>
      </w:r>
      <w:r>
        <w:rPr>
          <w:rFonts w:hint="eastAsia" w:ascii="仿宋" w:hAnsi="仿宋" w:eastAsia="仿宋"/>
          <w:color w:val="000000" w:themeColor="text1"/>
          <w:sz w:val="32"/>
          <w:szCs w:val="32"/>
          <w:vertAlign w:val="superscript"/>
        </w:rPr>
        <w:t>-6</w:t>
      </w:r>
      <w:r>
        <w:rPr>
          <w:rFonts w:hint="eastAsia" w:ascii="仿宋" w:hAnsi="仿宋" w:eastAsia="仿宋"/>
          <w:color w:val="000000" w:themeColor="text1"/>
          <w:sz w:val="32"/>
          <w:szCs w:val="32"/>
        </w:rPr>
        <w:t>，应提供灭菌确认报告。如采用环氧乙烷灭菌工艺，应参照GB 18279.1-2015要求进行研究，且明确残留物要求及采取的处理方法，并提供研究资料。当使用环氧乙烷灭菌的医疗器械中存在2-氯乙醇时,也要规定2-氯乙醇的最大允许残留量（可参考GB/T 16886.7-2015中4.3.5.3项的要求），明确采取的处理方法，并提供研究资料。如产品生产过程中没有含氯物质(如含氯清洗剂等)，可不研究2-氯乙醇的残留。</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对于由终端用户进行灭菌的产品应明确推荐的灭菌工艺（方法和参数）及所推荐的灭菌方法确定的依据。</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5.产品有效期和包装研究</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（1）有效期研究</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有效期包括产品有效期和包装有效期。产品有效期验证可采用实时老化或/和加速老化的研究。实时老化的研究是唯一能够反映产品在规定储存条件下实际稳定性要求的方法，应遵循极限试验和过载试验原则。建议以加速老化试验来对产品效期进行先期研究和预测，并适时启动实时老化试验对产品效期做进一步的后续研究和确认。加速老化中“室温或环境温度（TRT）”建议设定为25±2℃，当加速老化与实时老化结果不一致时，应以实时老化结果为准。加速老化研究试验的具体要求可参考YY/T 0681.1-2018《无菌医疗器械包装试验方法 第1部分：加速老化试验指南》。 </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对于包装的有效期验证，建议申请人提交在选择恰当的材料和包装结构合格后的最终成品包装的初始完整性和维持完整性的检测结果。在进行加速老化试验研究时应注意：产品选择的环境条件的老化机制应与宣称的运输储存条件真实下发生产品老化的机制相匹配一致。对于在加速老化研究中可能导致产品变性而不适于选择加速老化试验方法研究其包装的有效期验证，应以实时老化方法测定和验证。</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（2）包装及包装完整性：在宣称的有效期内以及运输储存条件下，保持包装完整性的依据。</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产品包装验证可依据有关标准进行（如GB/T 19633系列标准等），提交产品的包装完整性验证报告。</w:t>
      </w:r>
    </w:p>
    <w:p>
      <w:pPr>
        <w:spacing w:line="520" w:lineRule="exact"/>
        <w:ind w:right="-67" w:rightChars="-32"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三、审查关注点</w:t>
      </w:r>
    </w:p>
    <w:p>
      <w:pPr>
        <w:spacing w:line="560" w:lineRule="exact"/>
        <w:ind w:firstLine="640" w:firstLineChars="200"/>
        <w:rPr>
          <w:rFonts w:ascii="楷体" w:hAnsi="楷体" w:eastAsia="楷体"/>
          <w:bCs/>
          <w:color w:val="000000" w:themeColor="text1"/>
          <w:sz w:val="32"/>
          <w:szCs w:val="32"/>
        </w:rPr>
      </w:pPr>
      <w:r>
        <w:rPr>
          <w:rFonts w:hint="eastAsia" w:ascii="楷体" w:hAnsi="楷体" w:eastAsia="楷体"/>
          <w:bCs/>
          <w:color w:val="000000" w:themeColor="text1"/>
          <w:sz w:val="32"/>
          <w:szCs w:val="32"/>
        </w:rPr>
        <w:t>（一）产品技术要求</w:t>
      </w:r>
    </w:p>
    <w:p>
      <w:pPr>
        <w:spacing w:line="560" w:lineRule="exact"/>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    应关注导丝产品技术要求编写的规范性，引用标准的适用性、准确性；应关注企业是否根据宣称的特殊性能、技术特点制定相关的性能指标要求。</w:t>
      </w:r>
    </w:p>
    <w:p>
      <w:pPr>
        <w:spacing w:line="560" w:lineRule="exact"/>
        <w:ind w:firstLine="640" w:firstLineChars="200"/>
        <w:rPr>
          <w:rFonts w:ascii="楷体" w:hAnsi="楷体" w:eastAsia="楷体"/>
          <w:bCs/>
          <w:color w:val="000000" w:themeColor="text1"/>
          <w:sz w:val="32"/>
          <w:szCs w:val="32"/>
        </w:rPr>
      </w:pPr>
      <w:r>
        <w:rPr>
          <w:rFonts w:hint="eastAsia" w:ascii="楷体" w:hAnsi="楷体" w:eastAsia="楷体"/>
          <w:bCs/>
          <w:color w:val="000000" w:themeColor="text1"/>
          <w:sz w:val="32"/>
          <w:szCs w:val="32"/>
        </w:rPr>
        <w:t>（二）产品说明书要求</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应关注说明书是否有未经验证的夸大宣传的相关描述。</w:t>
      </w:r>
    </w:p>
    <w:p>
      <w:pPr>
        <w:spacing w:line="560" w:lineRule="exact"/>
        <w:ind w:firstLine="640" w:firstLineChars="200"/>
        <w:rPr>
          <w:rFonts w:ascii="楷体" w:hAnsi="楷体" w:eastAsia="楷体"/>
          <w:bCs/>
          <w:color w:val="000000" w:themeColor="text1"/>
          <w:sz w:val="32"/>
          <w:szCs w:val="32"/>
        </w:rPr>
      </w:pPr>
      <w:r>
        <w:rPr>
          <w:rFonts w:hint="eastAsia" w:ascii="楷体" w:hAnsi="楷体" w:eastAsia="楷体"/>
          <w:bCs/>
          <w:color w:val="000000" w:themeColor="text1"/>
          <w:sz w:val="32"/>
          <w:szCs w:val="32"/>
        </w:rPr>
        <w:t>（三）产品风险分析资料</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应关注产品的主要风险是否已经列举，并通过风险控制措施使产品的安全性在合理可接受的程度之内。</w:t>
      </w:r>
    </w:p>
    <w:p>
      <w:pPr>
        <w:spacing w:line="560" w:lineRule="exact"/>
        <w:ind w:firstLine="640" w:firstLineChars="200"/>
        <w:rPr>
          <w:rFonts w:ascii="楷体" w:hAnsi="楷体" w:eastAsia="楷体"/>
          <w:bCs/>
          <w:color w:val="000000" w:themeColor="text1"/>
          <w:sz w:val="32"/>
          <w:szCs w:val="32"/>
        </w:rPr>
      </w:pPr>
      <w:r>
        <w:rPr>
          <w:rFonts w:hint="eastAsia" w:ascii="楷体" w:hAnsi="楷体" w:eastAsia="楷体"/>
          <w:bCs/>
          <w:color w:val="000000" w:themeColor="text1"/>
          <w:sz w:val="32"/>
          <w:szCs w:val="32"/>
        </w:rPr>
        <w:t>（四）注册检测的典型产品</w:t>
      </w:r>
    </w:p>
    <w:p>
      <w:pPr>
        <w:spacing w:line="560" w:lineRule="exact"/>
        <w:ind w:firstLine="640" w:firstLineChars="200"/>
        <w:rPr>
          <w:rFonts w:ascii="仿宋_GB2312" w:hAnsi="仿宋" w:eastAsia="仿宋_GB2312"/>
          <w:color w:val="000000" w:themeColor="text1"/>
          <w:sz w:val="32"/>
          <w:szCs w:val="32"/>
        </w:rPr>
      </w:pPr>
      <w:r>
        <w:rPr>
          <w:rFonts w:hint="eastAsia" w:ascii="仿宋" w:hAnsi="仿宋" w:eastAsia="仿宋"/>
          <w:color w:val="000000" w:themeColor="text1"/>
          <w:sz w:val="32"/>
          <w:szCs w:val="32"/>
        </w:rPr>
        <w:t>应关注注册检测产品是否能够代表本注册单元内其他产品安全性和有效性。</w:t>
      </w:r>
    </w:p>
    <w:p>
      <w:pPr>
        <w:widowControl/>
        <w:jc w:val="left"/>
        <w:rPr>
          <w:rFonts w:ascii="仿宋_GB2312" w:hAnsi="仿宋" w:eastAsia="仿宋_GB2312"/>
          <w:color w:val="000000" w:themeColor="text1"/>
          <w:sz w:val="32"/>
          <w:szCs w:val="32"/>
        </w:rPr>
      </w:pPr>
      <w:r>
        <w:rPr>
          <w:rFonts w:ascii="仿宋_GB2312" w:hAnsi="仿宋" w:eastAsia="仿宋_GB2312"/>
          <w:color w:val="000000" w:themeColor="text1"/>
          <w:sz w:val="32"/>
          <w:szCs w:val="32"/>
        </w:rPr>
        <w:br w:type="page"/>
      </w:r>
    </w:p>
    <w:p>
      <w:pPr>
        <w:spacing w:afterLines="100" w:line="520" w:lineRule="exact"/>
        <w:ind w:right="-67" w:rightChars="-32"/>
        <w:jc w:val="center"/>
        <w:rPr>
          <w:rFonts w:ascii="方正小标宋简体" w:hAnsi="宋体" w:eastAsia="方正小标宋简体" w:cs="方正小标宋简体"/>
          <w:color w:val="000000" w:themeColor="text1"/>
          <w:sz w:val="36"/>
          <w:szCs w:val="36"/>
        </w:rPr>
      </w:pPr>
      <w:r>
        <w:rPr>
          <w:rFonts w:hint="eastAsia" w:ascii="方正小标宋简体" w:hAnsi="宋体" w:eastAsia="方正小标宋简体" w:cs="方正小标宋简体"/>
          <w:color w:val="000000" w:themeColor="text1"/>
          <w:sz w:val="36"/>
          <w:szCs w:val="36"/>
        </w:rPr>
        <w:t>导丝技术审评规范编制说明</w:t>
      </w:r>
    </w:p>
    <w:p>
      <w:pPr>
        <w:spacing w:line="52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一、产品技术审评</w:t>
      </w:r>
      <w:r>
        <w:rPr>
          <w:rFonts w:hint="eastAsia" w:ascii="黑体" w:eastAsia="黑体"/>
          <w:color w:val="000000" w:themeColor="text1"/>
          <w:sz w:val="32"/>
          <w:szCs w:val="32"/>
        </w:rPr>
        <w:t>规范起草目的和背景</w:t>
      </w:r>
    </w:p>
    <w:p>
      <w:pPr>
        <w:snapToGrid w:val="0"/>
        <w:spacing w:line="52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（一）本指导原则编写的目的是用于指导和规范导丝产品注册申报过程中审查人员对注册材料的技术审评。</w:t>
      </w:r>
    </w:p>
    <w:p>
      <w:pPr>
        <w:snapToGrid w:val="0"/>
        <w:spacing w:line="52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二）本指导原则旨在让初次接触该类产品的注册审查人员对产品原理、结构、主要性能、预期用途等各个方面有个基本了解，同时让技术审查人员在产品注册技术审评时把握基本的尺度，对产品安全性、有效性作出系统评价。</w:t>
      </w:r>
    </w:p>
    <w:p>
      <w:pPr>
        <w:spacing w:line="52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二、产品技术审评</w:t>
      </w:r>
      <w:r>
        <w:rPr>
          <w:rFonts w:hint="eastAsia" w:ascii="黑体" w:eastAsia="黑体"/>
          <w:color w:val="000000" w:themeColor="text1"/>
          <w:sz w:val="32"/>
          <w:szCs w:val="32"/>
        </w:rPr>
        <w:t>规范编写的依据</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（一）《医疗器械监督管理条例》(国务院令第</w:t>
      </w:r>
      <w:r>
        <w:rPr>
          <w:rFonts w:ascii="仿宋" w:hAnsi="仿宋" w:eastAsia="仿宋"/>
          <w:color w:val="000000" w:themeColor="text1"/>
          <w:sz w:val="32"/>
          <w:szCs w:val="32"/>
        </w:rPr>
        <w:t>739</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（二）《医疗器械注册与备案管理办法》（国家市场监督管理总局令第</w:t>
      </w:r>
      <w:r>
        <w:rPr>
          <w:rFonts w:ascii="仿宋" w:hAnsi="仿宋" w:eastAsia="仿宋"/>
          <w:color w:val="000000" w:themeColor="text1"/>
          <w:sz w:val="32"/>
          <w:szCs w:val="32"/>
        </w:rPr>
        <w:t>47</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（三）《医疗器械说明书和标签管理规定》（国家食品药品监督管理总局令第6号）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（四）《医疗器械产品技术要求编写指导原则》（国家食品药品监督管理总局 20</w:t>
      </w:r>
      <w:r>
        <w:rPr>
          <w:rFonts w:hint="eastAsia" w:ascii="仿宋" w:hAnsi="仿宋" w:eastAsia="仿宋"/>
          <w:color w:val="000000" w:themeColor="text1"/>
          <w:sz w:val="32"/>
          <w:szCs w:val="32"/>
          <w:lang w:val="en-US" w:eastAsia="zh-CN"/>
        </w:rPr>
        <w:t>22</w:t>
      </w:r>
      <w:r>
        <w:rPr>
          <w:rFonts w:hint="eastAsia" w:ascii="仿宋" w:hAnsi="仿宋" w:eastAsia="仿宋"/>
          <w:color w:val="000000" w:themeColor="text1"/>
          <w:sz w:val="32"/>
          <w:szCs w:val="32"/>
        </w:rPr>
        <w:t>年第</w:t>
      </w:r>
      <w:r>
        <w:rPr>
          <w:rFonts w:hint="eastAsia" w:ascii="仿宋" w:hAnsi="仿宋" w:eastAsia="仿宋"/>
          <w:color w:val="000000" w:themeColor="text1"/>
          <w:sz w:val="32"/>
          <w:szCs w:val="32"/>
          <w:lang w:val="en-US" w:eastAsia="zh-CN"/>
        </w:rPr>
        <w:t>8</w:t>
      </w:r>
      <w:r>
        <w:rPr>
          <w:rFonts w:hint="eastAsia" w:ascii="仿宋" w:hAnsi="仿宋" w:eastAsia="仿宋"/>
          <w:color w:val="000000" w:themeColor="text1"/>
          <w:sz w:val="32"/>
          <w:szCs w:val="32"/>
        </w:rPr>
        <w:t>号通告）</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（五）《免于临床评价医疗器械目录》的通告（2</w:t>
      </w:r>
      <w:r>
        <w:rPr>
          <w:rFonts w:ascii="仿宋" w:hAnsi="仿宋" w:eastAsia="仿宋"/>
          <w:color w:val="000000" w:themeColor="text1"/>
          <w:sz w:val="32"/>
          <w:szCs w:val="32"/>
        </w:rPr>
        <w:t>021</w:t>
      </w:r>
      <w:r>
        <w:rPr>
          <w:rFonts w:hint="eastAsia" w:ascii="仿宋" w:hAnsi="仿宋" w:eastAsia="仿宋"/>
          <w:color w:val="000000" w:themeColor="text1"/>
          <w:sz w:val="32"/>
          <w:szCs w:val="32"/>
        </w:rPr>
        <w:t>年第</w:t>
      </w:r>
      <w:r>
        <w:rPr>
          <w:rFonts w:ascii="仿宋" w:hAnsi="仿宋" w:eastAsia="仿宋"/>
          <w:color w:val="000000" w:themeColor="text1"/>
          <w:sz w:val="32"/>
          <w:szCs w:val="32"/>
        </w:rPr>
        <w:t>71</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（六）《医疗器械临床评价技术指导原则等5项技术指导原则》（国家药品监督管理局2</w:t>
      </w:r>
      <w:r>
        <w:rPr>
          <w:rFonts w:ascii="仿宋" w:hAnsi="仿宋" w:eastAsia="仿宋"/>
          <w:color w:val="000000" w:themeColor="text1"/>
          <w:sz w:val="32"/>
          <w:szCs w:val="32"/>
        </w:rPr>
        <w:t>021</w:t>
      </w:r>
      <w:r>
        <w:rPr>
          <w:rFonts w:hint="eastAsia" w:ascii="仿宋" w:hAnsi="仿宋" w:eastAsia="仿宋"/>
          <w:color w:val="000000" w:themeColor="text1"/>
          <w:sz w:val="32"/>
          <w:szCs w:val="32"/>
        </w:rPr>
        <w:t>年</w:t>
      </w:r>
      <w:bookmarkStart w:id="12" w:name="_GoBack"/>
      <w:bookmarkEnd w:id="12"/>
      <w:r>
        <w:rPr>
          <w:rFonts w:hint="eastAsia" w:ascii="仿宋" w:hAnsi="仿宋" w:eastAsia="仿宋"/>
          <w:color w:val="000000" w:themeColor="text1"/>
          <w:sz w:val="32"/>
          <w:szCs w:val="32"/>
        </w:rPr>
        <w:t>第7</w:t>
      </w:r>
      <w:r>
        <w:rPr>
          <w:rFonts w:ascii="仿宋" w:hAnsi="仿宋" w:eastAsia="仿宋"/>
          <w:color w:val="000000" w:themeColor="text1"/>
          <w:sz w:val="32"/>
          <w:szCs w:val="32"/>
        </w:rPr>
        <w:t>3</w:t>
      </w:r>
      <w:r>
        <w:rPr>
          <w:rFonts w:hint="eastAsia" w:ascii="仿宋" w:hAnsi="仿宋" w:eastAsia="仿宋"/>
          <w:color w:val="000000" w:themeColor="text1"/>
          <w:sz w:val="32"/>
          <w:szCs w:val="32"/>
        </w:rPr>
        <w:t>号通告）</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（七）国家药品监督管理部门发布的其他规范性文件</w:t>
      </w:r>
    </w:p>
    <w:p>
      <w:pPr>
        <w:spacing w:line="52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三、产品技术审评</w:t>
      </w:r>
      <w:r>
        <w:rPr>
          <w:rFonts w:hint="eastAsia" w:ascii="黑体" w:eastAsia="黑体"/>
          <w:color w:val="000000" w:themeColor="text1"/>
          <w:sz w:val="32"/>
          <w:szCs w:val="32"/>
        </w:rPr>
        <w:t>规范中重点内容说明</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（一）根据《医疗器械分类目录》（</w:t>
      </w:r>
      <w:r>
        <w:rPr>
          <w:rFonts w:hint="eastAsia" w:ascii="仿宋" w:hAnsi="仿宋" w:eastAsia="仿宋"/>
          <w:color w:val="000000" w:themeColor="text1"/>
          <w:sz w:val="32"/>
          <w:szCs w:val="32"/>
          <w:lang w:val="en-US" w:eastAsia="zh-CN"/>
        </w:rPr>
        <w:t>原</w:t>
      </w:r>
      <w:r>
        <w:rPr>
          <w:rFonts w:hint="eastAsia" w:ascii="仿宋" w:hAnsi="仿宋" w:eastAsia="仿宋"/>
          <w:color w:val="000000" w:themeColor="text1"/>
          <w:sz w:val="32"/>
          <w:szCs w:val="32"/>
        </w:rPr>
        <w:t>国家食品药品监督管理总局</w:t>
      </w:r>
      <w:r>
        <w:rPr>
          <w:rFonts w:ascii="仿宋" w:hAnsi="仿宋" w:eastAsia="仿宋"/>
          <w:color w:val="000000" w:themeColor="text1"/>
          <w:sz w:val="32"/>
          <w:szCs w:val="32"/>
        </w:rPr>
        <w:t>2017年第104号</w:t>
      </w:r>
      <w:r>
        <w:rPr>
          <w:rFonts w:hint="eastAsia" w:ascii="仿宋" w:hAnsi="仿宋" w:eastAsia="仿宋"/>
          <w:color w:val="000000" w:themeColor="text1"/>
          <w:sz w:val="32"/>
          <w:szCs w:val="32"/>
        </w:rPr>
        <w:t>公告）、《医疗器械分类规则》（国家食品药品监督管理总局令第15号）确定了导丝的管理类别并参考专家意见确定了适用范围。</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三）根据产品注册要求，明确了产品研究资料部分，包括产品性能研究、生物相容性评价研究、灭菌工艺研究、产品包装和有效期研究；明确了产品生产工艺过程，及过程质量控制点；明确了产品的临床评价细化要求。</w:t>
      </w:r>
    </w:p>
    <w:p>
      <w:pPr>
        <w:spacing w:line="560" w:lineRule="exact"/>
        <w:ind w:firstLine="640" w:firstLineChars="200"/>
        <w:rPr>
          <w:rFonts w:ascii="仿宋" w:eastAsia="仿宋"/>
          <w:color w:val="000000" w:themeColor="text1"/>
        </w:rPr>
      </w:pPr>
      <w:r>
        <w:rPr>
          <w:rFonts w:hint="eastAsia" w:ascii="仿宋" w:hAnsi="仿宋" w:eastAsia="仿宋"/>
          <w:color w:val="000000" w:themeColor="text1"/>
          <w:sz w:val="32"/>
          <w:szCs w:val="32"/>
        </w:rPr>
        <w:t>（四）产品的主要风险参照YY/T 0316-2016中附录E进行。</w:t>
      </w:r>
    </w:p>
    <w:p>
      <w:pPr>
        <w:snapToGrid w:val="0"/>
        <w:spacing w:line="520" w:lineRule="exact"/>
        <w:ind w:firstLine="640" w:firstLineChars="200"/>
        <w:rPr>
          <w:rFonts w:ascii="黑体" w:hAnsi="宋体" w:eastAsia="黑体"/>
          <w:color w:val="000000" w:themeColor="text1"/>
          <w:sz w:val="32"/>
          <w:szCs w:val="32"/>
        </w:rPr>
      </w:pPr>
      <w:r>
        <w:rPr>
          <w:rFonts w:hint="eastAsia" w:ascii="仿宋" w:hAnsi="仿宋" w:eastAsia="仿宋"/>
          <w:color w:val="000000" w:themeColor="text1"/>
          <w:sz w:val="32"/>
          <w:szCs w:val="32"/>
        </w:rPr>
        <w:t>（五）企业生产制造应满足法规、质量管理体系的要求。</w:t>
      </w:r>
      <w:r>
        <w:rPr>
          <w:rFonts w:hint="eastAsia" w:ascii="黑体" w:hAnsi="宋体" w:eastAsia="黑体"/>
          <w:color w:val="000000" w:themeColor="text1"/>
          <w:sz w:val="32"/>
          <w:szCs w:val="32"/>
        </w:rPr>
        <w:t>四、</w:t>
      </w:r>
      <w:r>
        <w:rPr>
          <w:rFonts w:hint="eastAsia" w:ascii="黑体" w:hAnsi="黑体" w:eastAsia="黑体"/>
          <w:color w:val="000000" w:themeColor="text1"/>
          <w:sz w:val="32"/>
          <w:szCs w:val="32"/>
        </w:rPr>
        <w:t>产品技术审评规范</w:t>
      </w:r>
      <w:r>
        <w:rPr>
          <w:rFonts w:hint="eastAsia" w:ascii="黑体" w:hAnsi="宋体" w:eastAsia="黑体"/>
          <w:color w:val="000000" w:themeColor="text1"/>
          <w:sz w:val="32"/>
          <w:szCs w:val="32"/>
        </w:rPr>
        <w:t>编写人员</w:t>
      </w:r>
    </w:p>
    <w:p>
      <w:pPr>
        <w:snapToGrid w:val="0"/>
        <w:spacing w:line="52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本规范的编写成员由注册技术审评人员、医疗器械检验人员、专业厂家代表、临床专家等共同组成，以充分利用各方面的信息资源和专业特长，将产品注册各个环节的有关要求尽可能全面地体现在产品技术审评规范的相关章节中，从而保证审评规范的正确、全面、实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MS Shell Dlg">
    <w:altName w:val="Microsoft Sans Serif"/>
    <w:panose1 w:val="020B0604020202020204"/>
    <w:charset w:val="00"/>
    <w:family w:val="swiss"/>
    <w:pitch w:val="default"/>
    <w:sig w:usb0="00000000" w:usb1="00000000" w:usb2="00000008" w:usb3="00000000" w:csb0="0001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Microsoft YaHei UI"/>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91106"/>
    </w:sdtPr>
    <w:sdtContent>
      <w:p>
        <w:pPr>
          <w:pStyle w:val="8"/>
          <w:jc w:val="center"/>
        </w:pPr>
        <w:r>
          <w:fldChar w:fldCharType="begin"/>
        </w:r>
        <w:r>
          <w:instrText xml:space="preserve">PAGE   \* MERGEFORMAT</w:instrText>
        </w:r>
        <w:r>
          <w:fldChar w:fldCharType="separate"/>
        </w:r>
        <w:r>
          <w:rPr>
            <w:lang w:val="zh-CN"/>
          </w:rPr>
          <w:t>18</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0BA1D"/>
    <w:multiLevelType w:val="singleLevel"/>
    <w:tmpl w:val="B7C0BA1D"/>
    <w:lvl w:ilvl="0" w:tentative="0">
      <w:start w:val="1"/>
      <w:numFmt w:val="decimal"/>
      <w:suff w:val="nothing"/>
      <w:lvlText w:val="%1-"/>
      <w:lvlJc w:val="left"/>
    </w:lvl>
  </w:abstractNum>
  <w:abstractNum w:abstractNumId="1">
    <w:nsid w:val="C136582D"/>
    <w:multiLevelType w:val="singleLevel"/>
    <w:tmpl w:val="C136582D"/>
    <w:lvl w:ilvl="0" w:tentative="0">
      <w:start w:val="1"/>
      <w:numFmt w:val="decimal"/>
      <w:suff w:val="nothing"/>
      <w:lvlText w:val="%1-"/>
      <w:lvlJc w:val="left"/>
    </w:lvl>
  </w:abstractNum>
  <w:abstractNum w:abstractNumId="2">
    <w:nsid w:val="2E6C120A"/>
    <w:multiLevelType w:val="multilevel"/>
    <w:tmpl w:val="2E6C12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1D7302C"/>
    <w:multiLevelType w:val="multilevel"/>
    <w:tmpl w:val="31D7302C"/>
    <w:lvl w:ilvl="0" w:tentative="0">
      <w:start w:val="1"/>
      <w:numFmt w:val="decimal"/>
      <w:suff w:val="nothing"/>
      <w:lvlText w:val="%1"/>
      <w:lvlJc w:val="left"/>
      <w:pPr>
        <w:ind w:left="1277"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37E348A0"/>
    <w:multiLevelType w:val="multilevel"/>
    <w:tmpl w:val="37E348A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C5081"/>
    <w:rsid w:val="00000156"/>
    <w:rsid w:val="000031C4"/>
    <w:rsid w:val="00014A05"/>
    <w:rsid w:val="0002138A"/>
    <w:rsid w:val="0002764A"/>
    <w:rsid w:val="00035616"/>
    <w:rsid w:val="00035A9C"/>
    <w:rsid w:val="00041D80"/>
    <w:rsid w:val="000424A6"/>
    <w:rsid w:val="00043278"/>
    <w:rsid w:val="00044C71"/>
    <w:rsid w:val="00045699"/>
    <w:rsid w:val="00047AC3"/>
    <w:rsid w:val="000515AE"/>
    <w:rsid w:val="000558F6"/>
    <w:rsid w:val="00055F45"/>
    <w:rsid w:val="00057D49"/>
    <w:rsid w:val="000617C4"/>
    <w:rsid w:val="00062CF0"/>
    <w:rsid w:val="00064419"/>
    <w:rsid w:val="00065063"/>
    <w:rsid w:val="0007590F"/>
    <w:rsid w:val="0008235F"/>
    <w:rsid w:val="0008485F"/>
    <w:rsid w:val="00085112"/>
    <w:rsid w:val="00086CF1"/>
    <w:rsid w:val="000927ED"/>
    <w:rsid w:val="000928F5"/>
    <w:rsid w:val="0009379D"/>
    <w:rsid w:val="000949D9"/>
    <w:rsid w:val="00097BDC"/>
    <w:rsid w:val="000A288F"/>
    <w:rsid w:val="000A3759"/>
    <w:rsid w:val="000B17DF"/>
    <w:rsid w:val="000B671B"/>
    <w:rsid w:val="000C0C7A"/>
    <w:rsid w:val="000C4153"/>
    <w:rsid w:val="000D4590"/>
    <w:rsid w:val="000D49E8"/>
    <w:rsid w:val="000E01EC"/>
    <w:rsid w:val="000E2F7F"/>
    <w:rsid w:val="000E4172"/>
    <w:rsid w:val="000F20D3"/>
    <w:rsid w:val="000F6D74"/>
    <w:rsid w:val="000F7AC0"/>
    <w:rsid w:val="001118B4"/>
    <w:rsid w:val="00112C41"/>
    <w:rsid w:val="00126042"/>
    <w:rsid w:val="00130B3D"/>
    <w:rsid w:val="00137737"/>
    <w:rsid w:val="00144469"/>
    <w:rsid w:val="00151BE9"/>
    <w:rsid w:val="00162D25"/>
    <w:rsid w:val="001634A0"/>
    <w:rsid w:val="001634BD"/>
    <w:rsid w:val="00165574"/>
    <w:rsid w:val="001675F5"/>
    <w:rsid w:val="001705C6"/>
    <w:rsid w:val="001730FC"/>
    <w:rsid w:val="00173E18"/>
    <w:rsid w:val="00181EAF"/>
    <w:rsid w:val="00185572"/>
    <w:rsid w:val="00185CF8"/>
    <w:rsid w:val="00192806"/>
    <w:rsid w:val="00193969"/>
    <w:rsid w:val="001963A6"/>
    <w:rsid w:val="001A2526"/>
    <w:rsid w:val="001A4BE8"/>
    <w:rsid w:val="001B4DE3"/>
    <w:rsid w:val="001B63F7"/>
    <w:rsid w:val="001C0307"/>
    <w:rsid w:val="001C1ADC"/>
    <w:rsid w:val="001C21D3"/>
    <w:rsid w:val="001C6F07"/>
    <w:rsid w:val="001D00EB"/>
    <w:rsid w:val="001D0DFD"/>
    <w:rsid w:val="001D18CE"/>
    <w:rsid w:val="001D3A70"/>
    <w:rsid w:val="001D5223"/>
    <w:rsid w:val="001D6A80"/>
    <w:rsid w:val="001D6DA0"/>
    <w:rsid w:val="001E1B32"/>
    <w:rsid w:val="001E288E"/>
    <w:rsid w:val="001E474D"/>
    <w:rsid w:val="001F49EC"/>
    <w:rsid w:val="00210569"/>
    <w:rsid w:val="002133D8"/>
    <w:rsid w:val="002163FE"/>
    <w:rsid w:val="002223A6"/>
    <w:rsid w:val="0022386B"/>
    <w:rsid w:val="002322B7"/>
    <w:rsid w:val="00233A36"/>
    <w:rsid w:val="00233E88"/>
    <w:rsid w:val="00234A64"/>
    <w:rsid w:val="00243B9F"/>
    <w:rsid w:val="00243F09"/>
    <w:rsid w:val="0025466A"/>
    <w:rsid w:val="00255949"/>
    <w:rsid w:val="00262DDF"/>
    <w:rsid w:val="002641D9"/>
    <w:rsid w:val="00264580"/>
    <w:rsid w:val="0026541C"/>
    <w:rsid w:val="002655B8"/>
    <w:rsid w:val="002663C3"/>
    <w:rsid w:val="00272BF5"/>
    <w:rsid w:val="00275DDC"/>
    <w:rsid w:val="002767A6"/>
    <w:rsid w:val="00276D9D"/>
    <w:rsid w:val="00276EC4"/>
    <w:rsid w:val="00280174"/>
    <w:rsid w:val="00280CBC"/>
    <w:rsid w:val="0028458B"/>
    <w:rsid w:val="002867CD"/>
    <w:rsid w:val="00287C81"/>
    <w:rsid w:val="00294526"/>
    <w:rsid w:val="00295F9B"/>
    <w:rsid w:val="002A7756"/>
    <w:rsid w:val="002B2874"/>
    <w:rsid w:val="002B3953"/>
    <w:rsid w:val="002B46AA"/>
    <w:rsid w:val="002B6B1E"/>
    <w:rsid w:val="002B7D65"/>
    <w:rsid w:val="002C0350"/>
    <w:rsid w:val="002C1E18"/>
    <w:rsid w:val="002C1EC1"/>
    <w:rsid w:val="002C2804"/>
    <w:rsid w:val="002C6805"/>
    <w:rsid w:val="002E1335"/>
    <w:rsid w:val="002E4429"/>
    <w:rsid w:val="002E4624"/>
    <w:rsid w:val="002E6805"/>
    <w:rsid w:val="002E7228"/>
    <w:rsid w:val="00303317"/>
    <w:rsid w:val="0030731C"/>
    <w:rsid w:val="00314BC1"/>
    <w:rsid w:val="003224EB"/>
    <w:rsid w:val="0032428B"/>
    <w:rsid w:val="00330101"/>
    <w:rsid w:val="00331CC3"/>
    <w:rsid w:val="00332D04"/>
    <w:rsid w:val="00336854"/>
    <w:rsid w:val="00336FFC"/>
    <w:rsid w:val="0034049D"/>
    <w:rsid w:val="00343CD4"/>
    <w:rsid w:val="00350A7F"/>
    <w:rsid w:val="00352926"/>
    <w:rsid w:val="003610C0"/>
    <w:rsid w:val="00364C81"/>
    <w:rsid w:val="00364F1C"/>
    <w:rsid w:val="00380210"/>
    <w:rsid w:val="00381AC8"/>
    <w:rsid w:val="0038244F"/>
    <w:rsid w:val="0038660E"/>
    <w:rsid w:val="003909B4"/>
    <w:rsid w:val="003A4D5C"/>
    <w:rsid w:val="003A6477"/>
    <w:rsid w:val="003B18E9"/>
    <w:rsid w:val="003B19A7"/>
    <w:rsid w:val="003B3E1C"/>
    <w:rsid w:val="003B7509"/>
    <w:rsid w:val="003C5F7E"/>
    <w:rsid w:val="003C62EA"/>
    <w:rsid w:val="003D0A36"/>
    <w:rsid w:val="003D5E25"/>
    <w:rsid w:val="003D60A8"/>
    <w:rsid w:val="003E041E"/>
    <w:rsid w:val="003E318F"/>
    <w:rsid w:val="003F1303"/>
    <w:rsid w:val="003F292F"/>
    <w:rsid w:val="003F2BC4"/>
    <w:rsid w:val="003F2E59"/>
    <w:rsid w:val="003F368D"/>
    <w:rsid w:val="003F6732"/>
    <w:rsid w:val="00402190"/>
    <w:rsid w:val="00402ECD"/>
    <w:rsid w:val="00403B9B"/>
    <w:rsid w:val="00407F76"/>
    <w:rsid w:val="00413688"/>
    <w:rsid w:val="004163B5"/>
    <w:rsid w:val="004169D7"/>
    <w:rsid w:val="00420AC0"/>
    <w:rsid w:val="0042508C"/>
    <w:rsid w:val="00430D45"/>
    <w:rsid w:val="00431235"/>
    <w:rsid w:val="00431688"/>
    <w:rsid w:val="00437E99"/>
    <w:rsid w:val="0044071D"/>
    <w:rsid w:val="004451BC"/>
    <w:rsid w:val="0045006D"/>
    <w:rsid w:val="00452F06"/>
    <w:rsid w:val="0045422D"/>
    <w:rsid w:val="0046249B"/>
    <w:rsid w:val="00462AB9"/>
    <w:rsid w:val="00470234"/>
    <w:rsid w:val="004706E0"/>
    <w:rsid w:val="004715F8"/>
    <w:rsid w:val="00472517"/>
    <w:rsid w:val="00482F63"/>
    <w:rsid w:val="00484A34"/>
    <w:rsid w:val="0049078B"/>
    <w:rsid w:val="00491F36"/>
    <w:rsid w:val="00495CC2"/>
    <w:rsid w:val="00497273"/>
    <w:rsid w:val="004A129B"/>
    <w:rsid w:val="004A2701"/>
    <w:rsid w:val="004B6064"/>
    <w:rsid w:val="004B6B20"/>
    <w:rsid w:val="004C181C"/>
    <w:rsid w:val="004C468D"/>
    <w:rsid w:val="004E19EB"/>
    <w:rsid w:val="004E6239"/>
    <w:rsid w:val="005031FC"/>
    <w:rsid w:val="00506A63"/>
    <w:rsid w:val="00513C85"/>
    <w:rsid w:val="00522646"/>
    <w:rsid w:val="005318AA"/>
    <w:rsid w:val="005360BD"/>
    <w:rsid w:val="005367AF"/>
    <w:rsid w:val="00536BF4"/>
    <w:rsid w:val="0054229A"/>
    <w:rsid w:val="005479A1"/>
    <w:rsid w:val="00553BCC"/>
    <w:rsid w:val="0055578B"/>
    <w:rsid w:val="005579D5"/>
    <w:rsid w:val="00561197"/>
    <w:rsid w:val="005645C4"/>
    <w:rsid w:val="00565CC0"/>
    <w:rsid w:val="00566A98"/>
    <w:rsid w:val="005704F6"/>
    <w:rsid w:val="00570F90"/>
    <w:rsid w:val="00571103"/>
    <w:rsid w:val="005807FB"/>
    <w:rsid w:val="00587538"/>
    <w:rsid w:val="00595468"/>
    <w:rsid w:val="005A0576"/>
    <w:rsid w:val="005A0F60"/>
    <w:rsid w:val="005A3B2A"/>
    <w:rsid w:val="005A47D8"/>
    <w:rsid w:val="005A5C27"/>
    <w:rsid w:val="005A668E"/>
    <w:rsid w:val="005B0E8B"/>
    <w:rsid w:val="005B3DF1"/>
    <w:rsid w:val="005B65BC"/>
    <w:rsid w:val="005B7D70"/>
    <w:rsid w:val="005C38BE"/>
    <w:rsid w:val="005C443F"/>
    <w:rsid w:val="005C63D1"/>
    <w:rsid w:val="005D03B0"/>
    <w:rsid w:val="005D0866"/>
    <w:rsid w:val="005D216D"/>
    <w:rsid w:val="005D2419"/>
    <w:rsid w:val="005D3FF2"/>
    <w:rsid w:val="005E1076"/>
    <w:rsid w:val="005F0077"/>
    <w:rsid w:val="005F7AB2"/>
    <w:rsid w:val="0060211C"/>
    <w:rsid w:val="00605C02"/>
    <w:rsid w:val="006140E0"/>
    <w:rsid w:val="00616C30"/>
    <w:rsid w:val="006215F3"/>
    <w:rsid w:val="006302E4"/>
    <w:rsid w:val="00642C2B"/>
    <w:rsid w:val="0064414F"/>
    <w:rsid w:val="006453ED"/>
    <w:rsid w:val="006462C6"/>
    <w:rsid w:val="00650DA9"/>
    <w:rsid w:val="00653817"/>
    <w:rsid w:val="00657609"/>
    <w:rsid w:val="00657AA7"/>
    <w:rsid w:val="00657E10"/>
    <w:rsid w:val="00670991"/>
    <w:rsid w:val="00672D05"/>
    <w:rsid w:val="00680589"/>
    <w:rsid w:val="00680EF9"/>
    <w:rsid w:val="006819B9"/>
    <w:rsid w:val="00687F0F"/>
    <w:rsid w:val="0069020C"/>
    <w:rsid w:val="00692127"/>
    <w:rsid w:val="00693B13"/>
    <w:rsid w:val="00696D1F"/>
    <w:rsid w:val="006A3930"/>
    <w:rsid w:val="006A5123"/>
    <w:rsid w:val="006B28CA"/>
    <w:rsid w:val="006B4C35"/>
    <w:rsid w:val="006B4CEA"/>
    <w:rsid w:val="006B51F8"/>
    <w:rsid w:val="006B6981"/>
    <w:rsid w:val="006B74ED"/>
    <w:rsid w:val="006C1D8C"/>
    <w:rsid w:val="006C5081"/>
    <w:rsid w:val="006C510C"/>
    <w:rsid w:val="006C5F42"/>
    <w:rsid w:val="006D2351"/>
    <w:rsid w:val="006D3FFA"/>
    <w:rsid w:val="006D4A6F"/>
    <w:rsid w:val="006D4EF7"/>
    <w:rsid w:val="006D5C6F"/>
    <w:rsid w:val="006D6497"/>
    <w:rsid w:val="006E5ED6"/>
    <w:rsid w:val="006E6D21"/>
    <w:rsid w:val="006F0D78"/>
    <w:rsid w:val="006F1BD8"/>
    <w:rsid w:val="006F3145"/>
    <w:rsid w:val="006F4B8B"/>
    <w:rsid w:val="006F51E1"/>
    <w:rsid w:val="007027B8"/>
    <w:rsid w:val="0071272D"/>
    <w:rsid w:val="007133DA"/>
    <w:rsid w:val="00724BCC"/>
    <w:rsid w:val="007271AD"/>
    <w:rsid w:val="007307E4"/>
    <w:rsid w:val="00730A81"/>
    <w:rsid w:val="00731565"/>
    <w:rsid w:val="00732167"/>
    <w:rsid w:val="00733E85"/>
    <w:rsid w:val="0074052A"/>
    <w:rsid w:val="00742156"/>
    <w:rsid w:val="00752311"/>
    <w:rsid w:val="00757395"/>
    <w:rsid w:val="00760533"/>
    <w:rsid w:val="007653D3"/>
    <w:rsid w:val="007654F7"/>
    <w:rsid w:val="0076630C"/>
    <w:rsid w:val="00767388"/>
    <w:rsid w:val="007707F3"/>
    <w:rsid w:val="00774E38"/>
    <w:rsid w:val="00775C7C"/>
    <w:rsid w:val="00786140"/>
    <w:rsid w:val="007A4B4E"/>
    <w:rsid w:val="007B30C6"/>
    <w:rsid w:val="007C2010"/>
    <w:rsid w:val="007C4BEB"/>
    <w:rsid w:val="007C611E"/>
    <w:rsid w:val="007C7FC2"/>
    <w:rsid w:val="007D5AEF"/>
    <w:rsid w:val="007E0586"/>
    <w:rsid w:val="007E11C0"/>
    <w:rsid w:val="007E2996"/>
    <w:rsid w:val="007E5230"/>
    <w:rsid w:val="007E604F"/>
    <w:rsid w:val="007F1C9A"/>
    <w:rsid w:val="007F5A2B"/>
    <w:rsid w:val="008038EF"/>
    <w:rsid w:val="00803EDC"/>
    <w:rsid w:val="00805A6B"/>
    <w:rsid w:val="00806757"/>
    <w:rsid w:val="0081006E"/>
    <w:rsid w:val="00822AC1"/>
    <w:rsid w:val="00822E29"/>
    <w:rsid w:val="00826298"/>
    <w:rsid w:val="00826F95"/>
    <w:rsid w:val="00827977"/>
    <w:rsid w:val="00831577"/>
    <w:rsid w:val="0083498E"/>
    <w:rsid w:val="008365C3"/>
    <w:rsid w:val="00837756"/>
    <w:rsid w:val="008442D4"/>
    <w:rsid w:val="00844B18"/>
    <w:rsid w:val="008501D5"/>
    <w:rsid w:val="00850D64"/>
    <w:rsid w:val="008520EB"/>
    <w:rsid w:val="00854479"/>
    <w:rsid w:val="008565B8"/>
    <w:rsid w:val="0086244A"/>
    <w:rsid w:val="008628DC"/>
    <w:rsid w:val="008659CB"/>
    <w:rsid w:val="008704C9"/>
    <w:rsid w:val="00877999"/>
    <w:rsid w:val="00880067"/>
    <w:rsid w:val="008807D8"/>
    <w:rsid w:val="00881B74"/>
    <w:rsid w:val="00882861"/>
    <w:rsid w:val="00883698"/>
    <w:rsid w:val="00884DB6"/>
    <w:rsid w:val="00886AFF"/>
    <w:rsid w:val="00886BE2"/>
    <w:rsid w:val="0088746B"/>
    <w:rsid w:val="00892AAF"/>
    <w:rsid w:val="00893CF8"/>
    <w:rsid w:val="008970D4"/>
    <w:rsid w:val="008A155B"/>
    <w:rsid w:val="008A5757"/>
    <w:rsid w:val="008B0F9C"/>
    <w:rsid w:val="008C38CB"/>
    <w:rsid w:val="008D0452"/>
    <w:rsid w:val="008D0879"/>
    <w:rsid w:val="008D4382"/>
    <w:rsid w:val="008F22A2"/>
    <w:rsid w:val="008F3221"/>
    <w:rsid w:val="008F5350"/>
    <w:rsid w:val="008F7361"/>
    <w:rsid w:val="009000F2"/>
    <w:rsid w:val="00900E94"/>
    <w:rsid w:val="009024DB"/>
    <w:rsid w:val="009073FF"/>
    <w:rsid w:val="009106F0"/>
    <w:rsid w:val="0091207E"/>
    <w:rsid w:val="00912686"/>
    <w:rsid w:val="009140F6"/>
    <w:rsid w:val="00915038"/>
    <w:rsid w:val="00916961"/>
    <w:rsid w:val="00926A94"/>
    <w:rsid w:val="0093218A"/>
    <w:rsid w:val="009324C8"/>
    <w:rsid w:val="00933F5A"/>
    <w:rsid w:val="00936137"/>
    <w:rsid w:val="0093756A"/>
    <w:rsid w:val="00943A3F"/>
    <w:rsid w:val="00947E2B"/>
    <w:rsid w:val="00950198"/>
    <w:rsid w:val="00953AC0"/>
    <w:rsid w:val="00954D2A"/>
    <w:rsid w:val="009561EF"/>
    <w:rsid w:val="009609A4"/>
    <w:rsid w:val="0097031C"/>
    <w:rsid w:val="00970363"/>
    <w:rsid w:val="00970A1C"/>
    <w:rsid w:val="009757DF"/>
    <w:rsid w:val="009762C1"/>
    <w:rsid w:val="009824A2"/>
    <w:rsid w:val="00982A21"/>
    <w:rsid w:val="00984222"/>
    <w:rsid w:val="0099102D"/>
    <w:rsid w:val="009960C0"/>
    <w:rsid w:val="00997D40"/>
    <w:rsid w:val="009A230B"/>
    <w:rsid w:val="009B08DE"/>
    <w:rsid w:val="009B128C"/>
    <w:rsid w:val="009B23E8"/>
    <w:rsid w:val="009B7D37"/>
    <w:rsid w:val="009C055F"/>
    <w:rsid w:val="009C0A34"/>
    <w:rsid w:val="009C538B"/>
    <w:rsid w:val="009D04E1"/>
    <w:rsid w:val="009D0E79"/>
    <w:rsid w:val="009D173B"/>
    <w:rsid w:val="009D69FD"/>
    <w:rsid w:val="009E607F"/>
    <w:rsid w:val="009F1006"/>
    <w:rsid w:val="009F374B"/>
    <w:rsid w:val="009F4451"/>
    <w:rsid w:val="009F49EA"/>
    <w:rsid w:val="009F65DB"/>
    <w:rsid w:val="009F6E06"/>
    <w:rsid w:val="00A020D9"/>
    <w:rsid w:val="00A07F5E"/>
    <w:rsid w:val="00A17C8D"/>
    <w:rsid w:val="00A24EF2"/>
    <w:rsid w:val="00A253A1"/>
    <w:rsid w:val="00A254E5"/>
    <w:rsid w:val="00A25768"/>
    <w:rsid w:val="00A27788"/>
    <w:rsid w:val="00A31310"/>
    <w:rsid w:val="00A416DE"/>
    <w:rsid w:val="00A50582"/>
    <w:rsid w:val="00A55E27"/>
    <w:rsid w:val="00A64091"/>
    <w:rsid w:val="00A64841"/>
    <w:rsid w:val="00A7137E"/>
    <w:rsid w:val="00A76D31"/>
    <w:rsid w:val="00A823B5"/>
    <w:rsid w:val="00A86F3F"/>
    <w:rsid w:val="00A87EC8"/>
    <w:rsid w:val="00A90662"/>
    <w:rsid w:val="00A907CA"/>
    <w:rsid w:val="00A91F87"/>
    <w:rsid w:val="00A9322D"/>
    <w:rsid w:val="00A93E4B"/>
    <w:rsid w:val="00A949E4"/>
    <w:rsid w:val="00AA0CB1"/>
    <w:rsid w:val="00AB1B96"/>
    <w:rsid w:val="00AB55BC"/>
    <w:rsid w:val="00AD4D52"/>
    <w:rsid w:val="00AE1D81"/>
    <w:rsid w:val="00AE5206"/>
    <w:rsid w:val="00AE52D4"/>
    <w:rsid w:val="00AF25AD"/>
    <w:rsid w:val="00B05A5E"/>
    <w:rsid w:val="00B07FF6"/>
    <w:rsid w:val="00B16F1A"/>
    <w:rsid w:val="00B17279"/>
    <w:rsid w:val="00B21F75"/>
    <w:rsid w:val="00B22D11"/>
    <w:rsid w:val="00B2503D"/>
    <w:rsid w:val="00B302E3"/>
    <w:rsid w:val="00B40035"/>
    <w:rsid w:val="00B40955"/>
    <w:rsid w:val="00B4376D"/>
    <w:rsid w:val="00B51A14"/>
    <w:rsid w:val="00B533BA"/>
    <w:rsid w:val="00B533EA"/>
    <w:rsid w:val="00B53EF2"/>
    <w:rsid w:val="00B63CAD"/>
    <w:rsid w:val="00B65061"/>
    <w:rsid w:val="00B67777"/>
    <w:rsid w:val="00B7141E"/>
    <w:rsid w:val="00B776D2"/>
    <w:rsid w:val="00B92B8E"/>
    <w:rsid w:val="00BA3D1F"/>
    <w:rsid w:val="00BA4B74"/>
    <w:rsid w:val="00BA6292"/>
    <w:rsid w:val="00BA7E9A"/>
    <w:rsid w:val="00BB5930"/>
    <w:rsid w:val="00BB7F35"/>
    <w:rsid w:val="00BC044F"/>
    <w:rsid w:val="00BC4E4F"/>
    <w:rsid w:val="00BD17EB"/>
    <w:rsid w:val="00BD6FB9"/>
    <w:rsid w:val="00BE0B49"/>
    <w:rsid w:val="00BE3C35"/>
    <w:rsid w:val="00BE40C8"/>
    <w:rsid w:val="00BE5C92"/>
    <w:rsid w:val="00BE6181"/>
    <w:rsid w:val="00BE663D"/>
    <w:rsid w:val="00BE6974"/>
    <w:rsid w:val="00BF21C0"/>
    <w:rsid w:val="00BF234C"/>
    <w:rsid w:val="00BF24AA"/>
    <w:rsid w:val="00BF48CF"/>
    <w:rsid w:val="00BF716E"/>
    <w:rsid w:val="00C0687C"/>
    <w:rsid w:val="00C10B4D"/>
    <w:rsid w:val="00C1581E"/>
    <w:rsid w:val="00C23E69"/>
    <w:rsid w:val="00C30C6C"/>
    <w:rsid w:val="00C31A80"/>
    <w:rsid w:val="00C32DD0"/>
    <w:rsid w:val="00C35844"/>
    <w:rsid w:val="00C46C1C"/>
    <w:rsid w:val="00C50AE8"/>
    <w:rsid w:val="00C52424"/>
    <w:rsid w:val="00C540EC"/>
    <w:rsid w:val="00C54BE2"/>
    <w:rsid w:val="00C56140"/>
    <w:rsid w:val="00C56816"/>
    <w:rsid w:val="00C671B7"/>
    <w:rsid w:val="00C672B1"/>
    <w:rsid w:val="00C700BF"/>
    <w:rsid w:val="00C820D3"/>
    <w:rsid w:val="00C823FB"/>
    <w:rsid w:val="00C8408B"/>
    <w:rsid w:val="00C8670B"/>
    <w:rsid w:val="00C92D89"/>
    <w:rsid w:val="00C96119"/>
    <w:rsid w:val="00C96700"/>
    <w:rsid w:val="00CA59B5"/>
    <w:rsid w:val="00CB040C"/>
    <w:rsid w:val="00CB2313"/>
    <w:rsid w:val="00CC2FB5"/>
    <w:rsid w:val="00CC53E4"/>
    <w:rsid w:val="00CD296C"/>
    <w:rsid w:val="00CD2E78"/>
    <w:rsid w:val="00CD63F6"/>
    <w:rsid w:val="00CE0BCB"/>
    <w:rsid w:val="00CE6977"/>
    <w:rsid w:val="00CE72D9"/>
    <w:rsid w:val="00CE7F53"/>
    <w:rsid w:val="00CF0B49"/>
    <w:rsid w:val="00CF0E22"/>
    <w:rsid w:val="00CF3CC4"/>
    <w:rsid w:val="00CF4673"/>
    <w:rsid w:val="00CF5235"/>
    <w:rsid w:val="00CF580F"/>
    <w:rsid w:val="00D032FC"/>
    <w:rsid w:val="00D041FF"/>
    <w:rsid w:val="00D04E61"/>
    <w:rsid w:val="00D15EF0"/>
    <w:rsid w:val="00D209DF"/>
    <w:rsid w:val="00D2258B"/>
    <w:rsid w:val="00D25031"/>
    <w:rsid w:val="00D25882"/>
    <w:rsid w:val="00D4565B"/>
    <w:rsid w:val="00D71D17"/>
    <w:rsid w:val="00D74116"/>
    <w:rsid w:val="00D82713"/>
    <w:rsid w:val="00D82C3A"/>
    <w:rsid w:val="00D91BA1"/>
    <w:rsid w:val="00D9627E"/>
    <w:rsid w:val="00D970AB"/>
    <w:rsid w:val="00DA0435"/>
    <w:rsid w:val="00DA1F4D"/>
    <w:rsid w:val="00DA3F0F"/>
    <w:rsid w:val="00DA587B"/>
    <w:rsid w:val="00DA597C"/>
    <w:rsid w:val="00DA64AF"/>
    <w:rsid w:val="00DB27BA"/>
    <w:rsid w:val="00DB3839"/>
    <w:rsid w:val="00DB3D4D"/>
    <w:rsid w:val="00DB495C"/>
    <w:rsid w:val="00DB5F04"/>
    <w:rsid w:val="00DB7015"/>
    <w:rsid w:val="00DC4E40"/>
    <w:rsid w:val="00DD01C2"/>
    <w:rsid w:val="00DD20D7"/>
    <w:rsid w:val="00DE0C55"/>
    <w:rsid w:val="00DE5C6E"/>
    <w:rsid w:val="00DE7838"/>
    <w:rsid w:val="00DF2B57"/>
    <w:rsid w:val="00DF2E90"/>
    <w:rsid w:val="00DF37AA"/>
    <w:rsid w:val="00DF5007"/>
    <w:rsid w:val="00DF5813"/>
    <w:rsid w:val="00DF6F08"/>
    <w:rsid w:val="00E01508"/>
    <w:rsid w:val="00E01BC0"/>
    <w:rsid w:val="00E02CBD"/>
    <w:rsid w:val="00E12A5D"/>
    <w:rsid w:val="00E150A0"/>
    <w:rsid w:val="00E16EB9"/>
    <w:rsid w:val="00E2067F"/>
    <w:rsid w:val="00E33C93"/>
    <w:rsid w:val="00E34D7F"/>
    <w:rsid w:val="00E34EA6"/>
    <w:rsid w:val="00E353DE"/>
    <w:rsid w:val="00E36AFC"/>
    <w:rsid w:val="00E41949"/>
    <w:rsid w:val="00E45F10"/>
    <w:rsid w:val="00E463C7"/>
    <w:rsid w:val="00E53EE8"/>
    <w:rsid w:val="00E571A1"/>
    <w:rsid w:val="00E6074D"/>
    <w:rsid w:val="00E64D08"/>
    <w:rsid w:val="00E67B42"/>
    <w:rsid w:val="00E71E81"/>
    <w:rsid w:val="00E74C43"/>
    <w:rsid w:val="00E8473A"/>
    <w:rsid w:val="00E86519"/>
    <w:rsid w:val="00E920CB"/>
    <w:rsid w:val="00E95A3A"/>
    <w:rsid w:val="00E95BCF"/>
    <w:rsid w:val="00E97BF2"/>
    <w:rsid w:val="00EA2E77"/>
    <w:rsid w:val="00EB1C1A"/>
    <w:rsid w:val="00EB3B24"/>
    <w:rsid w:val="00EB4E5F"/>
    <w:rsid w:val="00EC11BA"/>
    <w:rsid w:val="00EC12CA"/>
    <w:rsid w:val="00EC676D"/>
    <w:rsid w:val="00ED0143"/>
    <w:rsid w:val="00ED0575"/>
    <w:rsid w:val="00ED07BD"/>
    <w:rsid w:val="00ED47D6"/>
    <w:rsid w:val="00ED6639"/>
    <w:rsid w:val="00ED68D5"/>
    <w:rsid w:val="00EE3FB0"/>
    <w:rsid w:val="00EE4F5E"/>
    <w:rsid w:val="00EE5013"/>
    <w:rsid w:val="00EF489C"/>
    <w:rsid w:val="00EF7C67"/>
    <w:rsid w:val="00F003FC"/>
    <w:rsid w:val="00F00A10"/>
    <w:rsid w:val="00F04225"/>
    <w:rsid w:val="00F06B27"/>
    <w:rsid w:val="00F124C9"/>
    <w:rsid w:val="00F15063"/>
    <w:rsid w:val="00F22CB9"/>
    <w:rsid w:val="00F24157"/>
    <w:rsid w:val="00F26D59"/>
    <w:rsid w:val="00F30DEC"/>
    <w:rsid w:val="00F31D0F"/>
    <w:rsid w:val="00F34C8F"/>
    <w:rsid w:val="00F34E57"/>
    <w:rsid w:val="00F3549E"/>
    <w:rsid w:val="00F37069"/>
    <w:rsid w:val="00F403D7"/>
    <w:rsid w:val="00F4542C"/>
    <w:rsid w:val="00F459A8"/>
    <w:rsid w:val="00F4787A"/>
    <w:rsid w:val="00F50753"/>
    <w:rsid w:val="00F55525"/>
    <w:rsid w:val="00F5674C"/>
    <w:rsid w:val="00F6039A"/>
    <w:rsid w:val="00F62DDD"/>
    <w:rsid w:val="00F6588C"/>
    <w:rsid w:val="00F67A92"/>
    <w:rsid w:val="00F7299B"/>
    <w:rsid w:val="00F8461B"/>
    <w:rsid w:val="00F8642C"/>
    <w:rsid w:val="00F90299"/>
    <w:rsid w:val="00FA4338"/>
    <w:rsid w:val="00FB16F3"/>
    <w:rsid w:val="00FB244B"/>
    <w:rsid w:val="00FB7AF5"/>
    <w:rsid w:val="00FC37ED"/>
    <w:rsid w:val="00FC5AF8"/>
    <w:rsid w:val="00FD39E3"/>
    <w:rsid w:val="00FD7D4A"/>
    <w:rsid w:val="00FE04FC"/>
    <w:rsid w:val="00FF02FD"/>
    <w:rsid w:val="00FF147C"/>
    <w:rsid w:val="00FF1DF3"/>
    <w:rsid w:val="284704AA"/>
    <w:rsid w:val="52F23C18"/>
    <w:rsid w:val="7E394890"/>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character" w:default="1" w:styleId="13">
    <w:name w:val="Default Paragraph Font"/>
    <w:unhideWhenUsed/>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38"/>
    <w:unhideWhenUsed/>
    <w:uiPriority w:val="99"/>
    <w:rPr>
      <w:b/>
      <w:bCs/>
    </w:rPr>
  </w:style>
  <w:style w:type="paragraph" w:styleId="4">
    <w:name w:val="annotation text"/>
    <w:basedOn w:val="1"/>
    <w:link w:val="37"/>
    <w:unhideWhenUsed/>
    <w:uiPriority w:val="99"/>
    <w:pPr>
      <w:jc w:val="left"/>
    </w:pPr>
  </w:style>
  <w:style w:type="paragraph" w:styleId="5">
    <w:name w:val="Body Text"/>
    <w:basedOn w:val="1"/>
    <w:link w:val="33"/>
    <w:uiPriority w:val="0"/>
    <w:pPr>
      <w:spacing w:after="120"/>
    </w:pPr>
    <w:rPr>
      <w:rFonts w:ascii="Calibri" w:hAnsi="Calibri"/>
      <w:szCs w:val="24"/>
    </w:rPr>
  </w:style>
  <w:style w:type="paragraph" w:styleId="6">
    <w:name w:val="Date"/>
    <w:basedOn w:val="1"/>
    <w:next w:val="1"/>
    <w:link w:val="31"/>
    <w:uiPriority w:val="0"/>
    <w:pPr>
      <w:ind w:left="100" w:leftChars="2500"/>
    </w:pPr>
    <w:rPr>
      <w:rFonts w:ascii="Calibri" w:hAnsi="Calibri"/>
      <w:szCs w:val="24"/>
    </w:rPr>
  </w:style>
  <w:style w:type="paragraph" w:styleId="7">
    <w:name w:val="Balloon Text"/>
    <w:basedOn w:val="1"/>
    <w:link w:val="29"/>
    <w:unhideWhenUsed/>
    <w:uiPriority w:val="99"/>
    <w:rPr>
      <w:sz w:val="18"/>
      <w:szCs w:val="18"/>
    </w:rPr>
  </w:style>
  <w:style w:type="paragraph" w:styleId="8">
    <w:name w:val="footer"/>
    <w:basedOn w:val="1"/>
    <w:link w:val="28"/>
    <w:unhideWhenUsed/>
    <w:uiPriority w:val="99"/>
    <w:pPr>
      <w:tabs>
        <w:tab w:val="center" w:pos="4153"/>
        <w:tab w:val="right" w:pos="8306"/>
      </w:tabs>
      <w:snapToGrid w:val="0"/>
      <w:jc w:val="left"/>
    </w:pPr>
    <w:rPr>
      <w:sz w:val="18"/>
      <w:szCs w:val="18"/>
    </w:rPr>
  </w:style>
  <w:style w:type="paragraph" w:styleId="9">
    <w:name w:val="header"/>
    <w:basedOn w:val="1"/>
    <w:link w:val="27"/>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uiPriority w:val="39"/>
    <w:pPr>
      <w:tabs>
        <w:tab w:val="left" w:pos="630"/>
        <w:tab w:val="right" w:leader="dot" w:pos="8296"/>
      </w:tabs>
    </w:pPr>
  </w:style>
  <w:style w:type="paragraph" w:styleId="11">
    <w:name w:val="Normal (Web)"/>
    <w:basedOn w:val="1"/>
    <w:unhideWhenUsed/>
    <w:qFormat/>
    <w:uiPriority w:val="99"/>
    <w:rPr>
      <w:rFonts w:ascii="Times New Roman" w:hAnsi="Times New Roman" w:cs="Times New Roman"/>
      <w:sz w:val="24"/>
      <w:szCs w:val="24"/>
    </w:rPr>
  </w:style>
  <w:style w:type="paragraph" w:styleId="12">
    <w:name w:val="Title"/>
    <w:basedOn w:val="1"/>
    <w:next w:val="1"/>
    <w:link w:val="24"/>
    <w:qFormat/>
    <w:uiPriority w:val="10"/>
    <w:pPr>
      <w:spacing w:before="240" w:after="60"/>
      <w:jc w:val="center"/>
      <w:outlineLvl w:val="0"/>
    </w:pPr>
    <w:rPr>
      <w:rFonts w:eastAsia="宋体" w:asciiTheme="majorHAnsi" w:hAnsiTheme="majorHAnsi" w:cstheme="majorBidi"/>
      <w:b/>
      <w:bCs/>
      <w:sz w:val="32"/>
      <w:szCs w:val="32"/>
    </w:rPr>
  </w:style>
  <w:style w:type="character" w:styleId="14">
    <w:name w:val="Hyperlink"/>
    <w:basedOn w:val="13"/>
    <w:unhideWhenUsed/>
    <w:uiPriority w:val="99"/>
    <w:rPr>
      <w:color w:val="0563C1" w:themeColor="hyperlink"/>
      <w:u w:val="single"/>
    </w:rPr>
  </w:style>
  <w:style w:type="character" w:styleId="15">
    <w:name w:val="annotation reference"/>
    <w:semiHidden/>
    <w:uiPriority w:val="0"/>
    <w:rPr>
      <w:sz w:val="21"/>
      <w:szCs w:val="21"/>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List Paragraph"/>
    <w:basedOn w:val="1"/>
    <w:qFormat/>
    <w:uiPriority w:val="0"/>
    <w:pPr>
      <w:ind w:firstLine="420" w:firstLineChars="200"/>
    </w:pPr>
  </w:style>
  <w:style w:type="character" w:customStyle="1" w:styleId="19">
    <w:name w:val="f101"/>
    <w:uiPriority w:val="0"/>
    <w:rPr>
      <w:spacing w:val="500"/>
      <w:sz w:val="24"/>
      <w:szCs w:val="24"/>
    </w:rPr>
  </w:style>
  <w:style w:type="paragraph" w:customStyle="1" w:styleId="20">
    <w:name w:val="王奕，内文"/>
    <w:basedOn w:val="11"/>
    <w:link w:val="21"/>
    <w:qFormat/>
    <w:uiPriority w:val="0"/>
    <w:pPr>
      <w:widowControl/>
      <w:spacing w:line="360" w:lineRule="auto"/>
      <w:ind w:firstLine="200" w:firstLineChars="200"/>
    </w:pPr>
    <w:rPr>
      <w:rFonts w:eastAsia="宋体" w:cs="MS Shell Dlg"/>
      <w:color w:val="000000"/>
      <w:kern w:val="0"/>
    </w:rPr>
  </w:style>
  <w:style w:type="character" w:customStyle="1" w:styleId="21">
    <w:name w:val="王奕，内文 Char"/>
    <w:basedOn w:val="13"/>
    <w:link w:val="20"/>
    <w:qFormat/>
    <w:locked/>
    <w:uiPriority w:val="99"/>
    <w:rPr>
      <w:rFonts w:ascii="Times New Roman" w:hAnsi="Times New Roman" w:eastAsia="宋体" w:cs="MS Shell Dlg"/>
      <w:color w:val="000000"/>
      <w:kern w:val="0"/>
      <w:sz w:val="24"/>
      <w:szCs w:val="24"/>
    </w:rPr>
  </w:style>
  <w:style w:type="paragraph" w:customStyle="1" w:styleId="22">
    <w:name w:val="二级标题"/>
    <w:basedOn w:val="1"/>
    <w:qFormat/>
    <w:uiPriority w:val="0"/>
    <w:pPr>
      <w:spacing w:line="520" w:lineRule="exact"/>
      <w:ind w:firstLine="200" w:firstLineChars="200"/>
      <w:outlineLvl w:val="0"/>
    </w:pPr>
    <w:rPr>
      <w:rFonts w:ascii="楷体" w:hAnsi="楷体" w:eastAsia="楷体" w:cs="楷体_GB2312"/>
      <w:sz w:val="32"/>
      <w:szCs w:val="28"/>
    </w:rPr>
  </w:style>
  <w:style w:type="paragraph" w:customStyle="1" w:styleId="23">
    <w:name w:val="正文1"/>
    <w:basedOn w:val="1"/>
    <w:qFormat/>
    <w:uiPriority w:val="0"/>
    <w:pPr>
      <w:spacing w:line="520" w:lineRule="exact"/>
      <w:ind w:firstLine="200" w:firstLineChars="200"/>
    </w:pPr>
    <w:rPr>
      <w:rFonts w:ascii="Times New Roman" w:hAnsi="Times New Roman" w:eastAsia="仿宋" w:cs="Times New Roman"/>
      <w:sz w:val="32"/>
      <w:szCs w:val="28"/>
    </w:rPr>
  </w:style>
  <w:style w:type="character" w:customStyle="1" w:styleId="24">
    <w:name w:val="标题 Char"/>
    <w:basedOn w:val="13"/>
    <w:link w:val="12"/>
    <w:uiPriority w:val="10"/>
    <w:rPr>
      <w:rFonts w:eastAsia="宋体" w:asciiTheme="majorHAnsi" w:hAnsiTheme="majorHAnsi" w:cstheme="majorBidi"/>
      <w:b/>
      <w:bCs/>
      <w:sz w:val="32"/>
      <w:szCs w:val="32"/>
    </w:rPr>
  </w:style>
  <w:style w:type="character" w:customStyle="1" w:styleId="25">
    <w:name w:val="标题 1 Char"/>
    <w:basedOn w:val="13"/>
    <w:link w:val="2"/>
    <w:uiPriority w:val="9"/>
    <w:rPr>
      <w:b/>
      <w:bCs/>
      <w:kern w:val="44"/>
      <w:sz w:val="44"/>
      <w:szCs w:val="44"/>
    </w:rPr>
  </w:style>
  <w:style w:type="paragraph" w:customStyle="1" w:styleId="2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27">
    <w:name w:val="页眉 Char"/>
    <w:basedOn w:val="13"/>
    <w:link w:val="9"/>
    <w:uiPriority w:val="99"/>
    <w:rPr>
      <w:sz w:val="18"/>
      <w:szCs w:val="18"/>
    </w:rPr>
  </w:style>
  <w:style w:type="character" w:customStyle="1" w:styleId="28">
    <w:name w:val="页脚 Char"/>
    <w:basedOn w:val="13"/>
    <w:link w:val="8"/>
    <w:uiPriority w:val="99"/>
    <w:rPr>
      <w:sz w:val="18"/>
      <w:szCs w:val="18"/>
    </w:rPr>
  </w:style>
  <w:style w:type="character" w:customStyle="1" w:styleId="29">
    <w:name w:val="批注框文本 Char"/>
    <w:basedOn w:val="13"/>
    <w:link w:val="7"/>
    <w:semiHidden/>
    <w:uiPriority w:val="99"/>
    <w:rPr>
      <w:sz w:val="18"/>
      <w:szCs w:val="18"/>
    </w:rPr>
  </w:style>
  <w:style w:type="character" w:customStyle="1" w:styleId="30">
    <w:name w:val="apple-converted-space"/>
    <w:basedOn w:val="13"/>
    <w:uiPriority w:val="0"/>
  </w:style>
  <w:style w:type="character" w:customStyle="1" w:styleId="31">
    <w:name w:val="日期 Char1"/>
    <w:link w:val="6"/>
    <w:uiPriority w:val="0"/>
    <w:rPr>
      <w:rFonts w:ascii="Calibri" w:hAnsi="Calibri"/>
      <w:szCs w:val="24"/>
    </w:rPr>
  </w:style>
  <w:style w:type="character" w:customStyle="1" w:styleId="32">
    <w:name w:val="日期 Char"/>
    <w:basedOn w:val="13"/>
    <w:semiHidden/>
    <w:qFormat/>
    <w:uiPriority w:val="99"/>
  </w:style>
  <w:style w:type="character" w:customStyle="1" w:styleId="33">
    <w:name w:val="正文文本 Char1"/>
    <w:link w:val="5"/>
    <w:uiPriority w:val="0"/>
    <w:rPr>
      <w:rFonts w:ascii="Calibri" w:hAnsi="Calibri"/>
      <w:szCs w:val="24"/>
    </w:rPr>
  </w:style>
  <w:style w:type="character" w:customStyle="1" w:styleId="34">
    <w:name w:val="正文文本 Char"/>
    <w:basedOn w:val="13"/>
    <w:semiHidden/>
    <w:uiPriority w:val="99"/>
  </w:style>
  <w:style w:type="character" w:customStyle="1" w:styleId="35">
    <w:name w:val="16"/>
    <w:uiPriority w:val="0"/>
    <w:rPr>
      <w:rFonts w:hint="default" w:ascii="Calibri" w:hAnsi="Calibri" w:cs="Calibri"/>
    </w:rPr>
  </w:style>
  <w:style w:type="paragraph" w:customStyle="1" w:styleId="36">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37">
    <w:name w:val="批注文字 Char"/>
    <w:basedOn w:val="13"/>
    <w:link w:val="4"/>
    <w:semiHidden/>
    <w:uiPriority w:val="99"/>
    <w:rPr>
      <w:rFonts w:asciiTheme="minorHAnsi" w:hAnsiTheme="minorHAnsi" w:eastAsiaTheme="minorEastAsia" w:cstheme="minorBidi"/>
      <w:kern w:val="2"/>
      <w:sz w:val="21"/>
      <w:szCs w:val="22"/>
    </w:rPr>
  </w:style>
  <w:style w:type="character" w:customStyle="1" w:styleId="38">
    <w:name w:val="批注主题 Char"/>
    <w:basedOn w:val="37"/>
    <w:link w:val="3"/>
    <w:semiHidden/>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C60B33-E231-4923-A649-43AD05D9F93A}">
  <ds:schemaRefs/>
</ds:datastoreItem>
</file>

<file path=docProps/app.xml><?xml version="1.0" encoding="utf-8"?>
<Properties xmlns="http://schemas.openxmlformats.org/officeDocument/2006/extended-properties" xmlns:vt="http://schemas.openxmlformats.org/officeDocument/2006/docPropsVTypes">
  <Template>Normal</Template>
  <Pages>21</Pages>
  <Words>1464</Words>
  <Characters>8350</Characters>
  <Lines>69</Lines>
  <Paragraphs>19</Paragraphs>
  <TotalTime>0</TotalTime>
  <ScaleCrop>false</ScaleCrop>
  <LinksUpToDate>false</LinksUpToDate>
  <CharactersWithSpaces>9795</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2021-11-01T03:14:00Z</dcterms:created>
  <dc:creator>谭小柳</dc:creator>
  <cp:lastModifiedBy>016456672</cp:lastModifiedBy>
  <dcterms:modified xsi:type="dcterms:W3CDTF">2022-02-20T07:04:55Z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