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黑体" w:hAnsi="黑体" w:eastAsia="黑体" w:cs="宋体"/>
          <w:bCs/>
          <w:color w:val="000000"/>
          <w:kern w:val="0"/>
          <w:sz w:val="32"/>
          <w:szCs w:val="32"/>
        </w:rPr>
      </w:pPr>
      <w:r>
        <w:rPr>
          <w:rFonts w:hint="eastAsia" w:ascii="黑体" w:hAnsi="黑体" w:eastAsia="黑体" w:cs="宋体"/>
          <w:bCs/>
          <w:color w:val="000000"/>
          <w:kern w:val="0"/>
          <w:sz w:val="32"/>
          <w:szCs w:val="32"/>
        </w:rPr>
        <w:t>附录2</w:t>
      </w:r>
    </w:p>
    <w:p>
      <w:pPr>
        <w:widowControl/>
        <w:adjustRightInd w:val="0"/>
        <w:snapToGrid w:val="0"/>
        <w:jc w:val="center"/>
        <w:rPr>
          <w:rFonts w:hint="eastAsia" w:ascii="微软雅黑" w:hAnsi="微软雅黑" w:eastAsia="微软雅黑" w:cs="微软雅黑"/>
          <w:bCs/>
          <w:color w:val="000000"/>
          <w:kern w:val="0"/>
          <w:sz w:val="44"/>
          <w:szCs w:val="44"/>
        </w:rPr>
      </w:pPr>
      <w:r>
        <w:rPr>
          <w:rFonts w:hint="eastAsia" w:ascii="微软雅黑" w:hAnsi="微软雅黑" w:eastAsia="微软雅黑" w:cs="微软雅黑"/>
          <w:bCs/>
          <w:color w:val="000000"/>
          <w:kern w:val="0"/>
          <w:sz w:val="44"/>
          <w:szCs w:val="44"/>
        </w:rPr>
        <w:t>提供医疗器械第三方物流服务企业现场检查评定细则</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6"/>
        <w:gridCol w:w="5562"/>
        <w:gridCol w:w="6030"/>
        <w:gridCol w:w="1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blHeader/>
          <w:jc w:val="center"/>
        </w:trPr>
        <w:tc>
          <w:tcPr>
            <w:tcW w:w="327" w:type="pct"/>
            <w:noWrap w:val="0"/>
            <w:vAlign w:val="center"/>
          </w:tcPr>
          <w:p>
            <w:pPr>
              <w:rPr>
                <w:rFonts w:ascii="宋体" w:hAnsi="宋体" w:cs="Times New Roman"/>
                <w:b/>
                <w:bCs/>
                <w:color w:val="000000"/>
              </w:rPr>
            </w:pPr>
            <w:r>
              <w:rPr>
                <w:rFonts w:hint="eastAsia" w:ascii="宋体" w:hAnsi="宋体" w:cs="宋体"/>
                <w:b/>
                <w:bCs/>
                <w:color w:val="000000"/>
              </w:rPr>
              <w:t>项目号</w:t>
            </w:r>
          </w:p>
        </w:tc>
        <w:tc>
          <w:tcPr>
            <w:tcW w:w="1962" w:type="pct"/>
            <w:noWrap w:val="0"/>
            <w:vAlign w:val="center"/>
          </w:tcPr>
          <w:p>
            <w:pPr>
              <w:jc w:val="center"/>
              <w:rPr>
                <w:rFonts w:ascii="宋体" w:hAnsi="宋体" w:cs="Times New Roman"/>
                <w:b/>
                <w:bCs/>
                <w:color w:val="000000"/>
              </w:rPr>
            </w:pPr>
            <w:r>
              <w:rPr>
                <w:rFonts w:hint="eastAsia" w:ascii="宋体" w:hAnsi="宋体" w:cs="宋体"/>
                <w:b/>
                <w:bCs/>
                <w:color w:val="000000"/>
              </w:rPr>
              <w:t>检查内容</w:t>
            </w:r>
          </w:p>
        </w:tc>
        <w:tc>
          <w:tcPr>
            <w:tcW w:w="2127" w:type="pct"/>
            <w:noWrap w:val="0"/>
            <w:vAlign w:val="center"/>
          </w:tcPr>
          <w:p>
            <w:pPr>
              <w:jc w:val="center"/>
              <w:rPr>
                <w:rFonts w:ascii="宋体" w:hAnsi="宋体" w:cs="Times New Roman"/>
                <w:b/>
                <w:bCs/>
                <w:color w:val="000000"/>
              </w:rPr>
            </w:pPr>
            <w:r>
              <w:rPr>
                <w:rFonts w:hint="eastAsia" w:ascii="宋体" w:hAnsi="宋体" w:cs="宋体"/>
                <w:b/>
                <w:bCs/>
                <w:color w:val="000000"/>
              </w:rPr>
              <w:t>检查要点</w:t>
            </w:r>
          </w:p>
        </w:tc>
        <w:tc>
          <w:tcPr>
            <w:tcW w:w="584" w:type="pct"/>
            <w:noWrap w:val="0"/>
            <w:vAlign w:val="center"/>
          </w:tcPr>
          <w:p>
            <w:pPr>
              <w:rPr>
                <w:rFonts w:ascii="宋体" w:hAnsi="宋体" w:cs="Times New Roman"/>
                <w:b/>
                <w:bCs/>
                <w:color w:val="000000"/>
              </w:rPr>
            </w:pPr>
            <w:r>
              <w:rPr>
                <w:rFonts w:hint="eastAsia" w:ascii="宋体" w:hAnsi="宋体" w:cs="宋体"/>
                <w:b/>
                <w:bCs/>
                <w:color w:val="000000"/>
              </w:rPr>
              <w:t>结果判定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7" w:hRule="atLeast"/>
          <w:jc w:val="center"/>
        </w:trPr>
        <w:tc>
          <w:tcPr>
            <w:tcW w:w="327" w:type="pct"/>
            <w:noWrap w:val="0"/>
            <w:vAlign w:val="center"/>
          </w:tcPr>
          <w:p>
            <w:pPr>
              <w:spacing w:line="300" w:lineRule="exact"/>
              <w:jc w:val="center"/>
              <w:rPr>
                <w:rFonts w:hint="eastAsia" w:ascii="宋体" w:hAnsi="宋体" w:cs="宋体"/>
                <w:color w:val="000000"/>
              </w:rPr>
            </w:pPr>
            <w:r>
              <w:rPr>
                <w:rFonts w:ascii="宋体" w:hAnsi="宋体" w:cs="宋体"/>
                <w:color w:val="000000"/>
              </w:rPr>
              <w:t>*</w:t>
            </w:r>
            <w:r>
              <w:rPr>
                <w:rFonts w:hint="eastAsia" w:ascii="宋体" w:hAnsi="宋体" w:cs="宋体"/>
                <w:color w:val="000000"/>
              </w:rPr>
              <w:t>1</w:t>
            </w:r>
            <w:r>
              <w:rPr>
                <w:rFonts w:ascii="宋体" w:hAnsi="宋体" w:cs="宋体"/>
                <w:color w:val="000000"/>
              </w:rPr>
              <w:t>.</w:t>
            </w:r>
            <w:r>
              <w:rPr>
                <w:rFonts w:hint="eastAsia" w:ascii="宋体" w:hAnsi="宋体" w:cs="宋体"/>
                <w:color w:val="000000"/>
              </w:rPr>
              <w:t>1</w:t>
            </w:r>
          </w:p>
        </w:tc>
        <w:tc>
          <w:tcPr>
            <w:tcW w:w="1962" w:type="pct"/>
            <w:noWrap w:val="0"/>
            <w:vAlign w:val="center"/>
          </w:tcPr>
          <w:p>
            <w:pPr>
              <w:spacing w:line="300" w:lineRule="exact"/>
              <w:rPr>
                <w:rFonts w:hint="eastAsia" w:ascii="宋体" w:hAnsi="宋体" w:cs="宋体"/>
                <w:color w:val="000000"/>
              </w:rPr>
            </w:pPr>
            <w:r>
              <w:rPr>
                <w:rFonts w:hint="eastAsia" w:ascii="宋体" w:hAnsi="宋体" w:cs="宋体"/>
                <w:color w:val="000000"/>
              </w:rPr>
              <w:t>企业应当建立并运行覆盖第三方物流服务业务全过程的质量管理体系，制定管理制度、工作规范、操作流程和相关记录，并保证其有效运行。</w:t>
            </w:r>
          </w:p>
        </w:tc>
        <w:tc>
          <w:tcPr>
            <w:tcW w:w="2127" w:type="pct"/>
            <w:noWrap w:val="0"/>
            <w:vAlign w:val="center"/>
          </w:tcPr>
          <w:p>
            <w:pPr>
              <w:spacing w:line="300" w:lineRule="exact"/>
              <w:rPr>
                <w:rFonts w:ascii="宋体" w:hAnsi="宋体" w:cs="Times New Roman"/>
                <w:color w:val="000000"/>
                <w:kern w:val="0"/>
              </w:rPr>
            </w:pPr>
            <w:r>
              <w:rPr>
                <w:rFonts w:ascii="宋体" w:hAnsi="宋体" w:cs="宋体"/>
                <w:color w:val="000000"/>
              </w:rPr>
              <w:t>1</w:t>
            </w:r>
            <w:r>
              <w:rPr>
                <w:rFonts w:hint="eastAsia" w:ascii="宋体" w:hAnsi="宋体" w:cs="宋体"/>
                <w:color w:val="000000"/>
              </w:rPr>
              <w:t>.查看与第三方物流业务相关的质量管理制度、工作规范、操作流程及相关记录目录；</w:t>
            </w:r>
          </w:p>
          <w:p>
            <w:pPr>
              <w:spacing w:line="300" w:lineRule="exact"/>
              <w:rPr>
                <w:rFonts w:ascii="宋体" w:hAnsi="宋体" w:cs="Times New Roman"/>
                <w:color w:val="000000"/>
              </w:rPr>
            </w:pPr>
            <w:r>
              <w:rPr>
                <w:rFonts w:ascii="宋体" w:hAnsi="宋体" w:cs="宋体"/>
                <w:color w:val="000000"/>
              </w:rPr>
              <w:t>2.</w:t>
            </w:r>
            <w:r>
              <w:rPr>
                <w:rFonts w:hint="eastAsia" w:ascii="宋体" w:hAnsi="宋体" w:cs="宋体"/>
                <w:color w:val="000000"/>
              </w:rPr>
              <w:t>确认企业分别制定第三方物流业务相关文件与自营业务相关文件。</w:t>
            </w:r>
          </w:p>
        </w:tc>
        <w:tc>
          <w:tcPr>
            <w:tcW w:w="584" w:type="pc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Fonts w:ascii="宋体" w:hAnsi="宋体" w:cs="Times New Roman"/>
                <w:color w:val="000000"/>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 w:hRule="atLeast"/>
          <w:jc w:val="center"/>
        </w:trPr>
        <w:tc>
          <w:tcPr>
            <w:tcW w:w="327" w:type="pct"/>
            <w:noWrap w:val="0"/>
            <w:vAlign w:val="center"/>
          </w:tcPr>
          <w:p>
            <w:pPr>
              <w:spacing w:line="300" w:lineRule="exact"/>
              <w:jc w:val="center"/>
              <w:rPr>
                <w:rFonts w:hint="eastAsia" w:ascii="宋体" w:hAnsi="宋体" w:cs="宋体"/>
                <w:color w:val="000000"/>
              </w:rPr>
            </w:pPr>
            <w:r>
              <w:rPr>
                <w:rFonts w:hint="eastAsia" w:ascii="宋体" w:hAnsi="宋体" w:cs="宋体"/>
                <w:color w:val="000000"/>
              </w:rPr>
              <w:t>1.2</w:t>
            </w:r>
          </w:p>
        </w:tc>
        <w:tc>
          <w:tcPr>
            <w:tcW w:w="1962" w:type="pct"/>
            <w:noWrap w:val="0"/>
            <w:vAlign w:val="center"/>
          </w:tcPr>
          <w:p>
            <w:pPr>
              <w:widowControl/>
              <w:spacing w:line="300" w:lineRule="exact"/>
              <w:rPr>
                <w:rFonts w:ascii="宋体" w:hAnsi="宋体" w:cs="Times New Roman"/>
                <w:color w:val="000000"/>
                <w:kern w:val="0"/>
              </w:rPr>
            </w:pPr>
            <w:r>
              <w:rPr>
                <w:rFonts w:hint="eastAsia" w:ascii="宋体" w:hAnsi="宋体" w:cs="宋体"/>
                <w:color w:val="000000"/>
                <w:kern w:val="0"/>
              </w:rPr>
              <w:t>企业应当配备与第三方物流业务</w:t>
            </w:r>
            <w:r>
              <w:rPr>
                <w:rFonts w:hint="eastAsia" w:ascii="宋体" w:hAnsi="宋体" w:cs="宋体"/>
                <w:color w:val="000000"/>
              </w:rPr>
              <w:t>规模相适应的质量管理、收货、查验、上</w:t>
            </w:r>
            <w:r>
              <w:rPr>
                <w:rFonts w:hint="eastAsia" w:ascii="宋体" w:hAnsi="宋体" w:cs="宋体"/>
                <w:color w:val="000000"/>
                <w:kern w:val="0"/>
              </w:rPr>
              <w:t>架、检查、拣选、复核、发货、包装、运输等岗位的人员，并明确各岗位职责。</w:t>
            </w:r>
          </w:p>
        </w:tc>
        <w:tc>
          <w:tcPr>
            <w:tcW w:w="2127" w:type="pct"/>
            <w:noWrap w:val="0"/>
            <w:vAlign w:val="center"/>
          </w:tcPr>
          <w:p>
            <w:pPr>
              <w:spacing w:line="300" w:lineRule="exact"/>
              <w:rPr>
                <w:rFonts w:ascii="宋体" w:hAnsi="宋体" w:cs="Times New Roman"/>
                <w:color w:val="000000"/>
              </w:rPr>
            </w:pPr>
            <w:r>
              <w:rPr>
                <w:rFonts w:ascii="宋体" w:hAnsi="宋体" w:cs="宋体"/>
                <w:color w:val="000000"/>
              </w:rPr>
              <w:t>1.</w:t>
            </w:r>
            <w:r>
              <w:rPr>
                <w:rFonts w:hint="eastAsia" w:ascii="宋体" w:hAnsi="宋体" w:cs="宋体"/>
                <w:color w:val="000000"/>
              </w:rPr>
              <w:t>查看相关岗位的职责与权限文件；</w:t>
            </w:r>
          </w:p>
          <w:p>
            <w:pPr>
              <w:spacing w:line="300" w:lineRule="exact"/>
              <w:rPr>
                <w:rFonts w:hint="eastAsia" w:ascii="宋体" w:hAnsi="宋体" w:cs="宋体"/>
                <w:color w:val="000000"/>
              </w:rPr>
            </w:pPr>
            <w:r>
              <w:rPr>
                <w:rFonts w:ascii="宋体" w:hAnsi="宋体" w:cs="宋体"/>
                <w:color w:val="000000"/>
              </w:rPr>
              <w:t>2.</w:t>
            </w:r>
            <w:r>
              <w:rPr>
                <w:rFonts w:hint="eastAsia" w:ascii="宋体" w:hAnsi="宋体" w:cs="宋体"/>
                <w:color w:val="000000"/>
              </w:rPr>
              <w:t>抽选相关岗位人员进行访谈，了解其对岗位职责的熟悉程度。</w:t>
            </w:r>
          </w:p>
          <w:p>
            <w:pPr>
              <w:spacing w:line="300" w:lineRule="exact"/>
              <w:rPr>
                <w:rFonts w:hint="eastAsia" w:ascii="宋体" w:hAnsi="宋体" w:cs="宋体"/>
                <w:color w:val="000000"/>
              </w:rPr>
            </w:pPr>
            <w:r>
              <w:rPr>
                <w:rFonts w:hint="eastAsia" w:ascii="宋体" w:hAnsi="宋体" w:cs="宋体"/>
                <w:b/>
                <w:color w:val="000000"/>
              </w:rPr>
              <w:t>备注：</w:t>
            </w:r>
            <w:r>
              <w:rPr>
                <w:rFonts w:hint="eastAsia" w:ascii="宋体" w:hAnsi="宋体" w:cs="宋体"/>
                <w:color w:val="000000"/>
              </w:rPr>
              <w:t>1.全部委托其他承运单位运输的，可豁免运输环节检查。</w:t>
            </w:r>
          </w:p>
        </w:tc>
        <w:tc>
          <w:tcPr>
            <w:tcW w:w="584" w:type="pc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Fonts w:ascii="宋体" w:hAnsi="宋体" w:cs="Times New Roman"/>
                <w:color w:val="000000"/>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0" w:hRule="atLeast"/>
          <w:jc w:val="center"/>
        </w:trPr>
        <w:tc>
          <w:tcPr>
            <w:tcW w:w="327" w:type="pct"/>
            <w:noWrap w:val="0"/>
            <w:vAlign w:val="center"/>
          </w:tcPr>
          <w:p>
            <w:pPr>
              <w:widowControl/>
              <w:spacing w:line="300" w:lineRule="exact"/>
              <w:jc w:val="center"/>
              <w:textAlignment w:val="top"/>
              <w:rPr>
                <w:rFonts w:hint="eastAsia" w:ascii="宋体" w:hAnsi="宋体" w:cs="宋体"/>
                <w:color w:val="000000"/>
              </w:rPr>
            </w:pPr>
            <w:r>
              <w:rPr>
                <w:rFonts w:hint="eastAsia" w:ascii="宋体" w:hAnsi="宋体" w:cs="宋体"/>
                <w:color w:val="000000"/>
              </w:rPr>
              <w:t>*1.3</w:t>
            </w:r>
          </w:p>
        </w:tc>
        <w:tc>
          <w:tcPr>
            <w:tcW w:w="1962" w:type="pct"/>
            <w:noWrap w:val="0"/>
            <w:vAlign w:val="center"/>
          </w:tcPr>
          <w:p>
            <w:pPr>
              <w:spacing w:line="300" w:lineRule="exact"/>
              <w:rPr>
                <w:rFonts w:hint="eastAsia" w:ascii="宋体" w:hAnsi="宋体" w:cs="宋体"/>
                <w:color w:val="000000"/>
              </w:rPr>
            </w:pPr>
            <w:r>
              <w:rPr>
                <w:rFonts w:hint="eastAsia" w:ascii="宋体" w:hAnsi="宋体" w:cs="宋体"/>
                <w:color w:val="000000"/>
              </w:rPr>
              <w:t>企业应当</w:t>
            </w:r>
            <w:r>
              <w:rPr>
                <w:rFonts w:ascii="宋体" w:hAnsi="宋体" w:cs="宋体"/>
                <w:color w:val="000000"/>
              </w:rPr>
              <w:t>制定各环节质量管理文件，</w:t>
            </w:r>
            <w:r>
              <w:rPr>
                <w:rFonts w:hint="eastAsia" w:ascii="宋体" w:hAnsi="宋体" w:cs="宋体"/>
                <w:color w:val="000000"/>
              </w:rPr>
              <w:t>至少包含以下内容：</w:t>
            </w:r>
          </w:p>
          <w:p>
            <w:pPr>
              <w:widowControl/>
              <w:spacing w:line="300" w:lineRule="exact"/>
              <w:textAlignment w:val="top"/>
              <w:rPr>
                <w:rFonts w:hint="eastAsia" w:ascii="宋体" w:hAnsi="宋体" w:cs="宋体"/>
                <w:color w:val="000000"/>
              </w:rPr>
            </w:pPr>
            <w:r>
              <w:rPr>
                <w:rFonts w:hint="eastAsia" w:ascii="宋体" w:hAnsi="宋体" w:cs="宋体"/>
                <w:color w:val="000000"/>
              </w:rPr>
              <w:t>（一）质量文件审核批准管理制度；</w:t>
            </w:r>
          </w:p>
          <w:p>
            <w:pPr>
              <w:widowControl/>
              <w:spacing w:line="300" w:lineRule="exact"/>
              <w:textAlignment w:val="top"/>
              <w:rPr>
                <w:rFonts w:hint="eastAsia" w:ascii="宋体" w:hAnsi="宋体" w:cs="宋体"/>
                <w:color w:val="000000"/>
              </w:rPr>
            </w:pPr>
            <w:r>
              <w:rPr>
                <w:rFonts w:hint="eastAsia" w:ascii="宋体" w:hAnsi="宋体" w:cs="宋体"/>
                <w:color w:val="000000"/>
              </w:rPr>
              <w:t>（二）委托方企业资质审核与产品资质核准管理制度；</w:t>
            </w:r>
          </w:p>
          <w:p>
            <w:pPr>
              <w:widowControl/>
              <w:spacing w:line="300" w:lineRule="exact"/>
              <w:textAlignment w:val="top"/>
              <w:rPr>
                <w:rFonts w:hint="eastAsia" w:ascii="宋体" w:hAnsi="宋体" w:cs="宋体"/>
                <w:color w:val="000000"/>
              </w:rPr>
            </w:pPr>
            <w:r>
              <w:rPr>
                <w:rFonts w:hint="eastAsia" w:ascii="宋体" w:hAnsi="宋体" w:cs="宋体"/>
                <w:color w:val="000000"/>
              </w:rPr>
              <w:t>（三）医疗器械收货、验收管理制度；</w:t>
            </w:r>
          </w:p>
          <w:p>
            <w:pPr>
              <w:widowControl/>
              <w:spacing w:line="300" w:lineRule="exact"/>
              <w:textAlignment w:val="top"/>
              <w:rPr>
                <w:rFonts w:hint="eastAsia" w:ascii="宋体" w:hAnsi="宋体" w:cs="宋体"/>
                <w:color w:val="000000"/>
              </w:rPr>
            </w:pPr>
            <w:r>
              <w:rPr>
                <w:rFonts w:hint="eastAsia" w:ascii="宋体" w:hAnsi="宋体" w:cs="宋体"/>
                <w:color w:val="000000"/>
              </w:rPr>
              <w:t>（四）医疗器械出入库管理制度；</w:t>
            </w:r>
          </w:p>
          <w:p>
            <w:pPr>
              <w:widowControl/>
              <w:spacing w:line="300" w:lineRule="exact"/>
              <w:textAlignment w:val="top"/>
              <w:rPr>
                <w:rFonts w:hint="eastAsia" w:ascii="宋体" w:hAnsi="宋体" w:cs="宋体"/>
                <w:color w:val="000000"/>
              </w:rPr>
            </w:pPr>
            <w:r>
              <w:rPr>
                <w:rFonts w:hint="eastAsia" w:ascii="宋体" w:hAnsi="宋体" w:cs="宋体"/>
                <w:color w:val="000000"/>
              </w:rPr>
              <w:t xml:space="preserve">（五）医疗器械贮存管理制度； </w:t>
            </w:r>
          </w:p>
          <w:p>
            <w:pPr>
              <w:widowControl/>
              <w:spacing w:line="300" w:lineRule="exact"/>
              <w:textAlignment w:val="top"/>
              <w:rPr>
                <w:rFonts w:hint="eastAsia" w:ascii="宋体" w:hAnsi="宋体" w:cs="宋体"/>
                <w:color w:val="000000"/>
              </w:rPr>
            </w:pPr>
            <w:r>
              <w:rPr>
                <w:rFonts w:hint="eastAsia" w:ascii="宋体" w:hAnsi="宋体" w:cs="宋体"/>
                <w:color w:val="000000"/>
              </w:rPr>
              <w:t>（六）医疗器械运输管理制度；</w:t>
            </w:r>
          </w:p>
          <w:p>
            <w:pPr>
              <w:widowControl/>
              <w:spacing w:line="300" w:lineRule="exact"/>
              <w:textAlignment w:val="top"/>
              <w:rPr>
                <w:rFonts w:hint="eastAsia" w:ascii="宋体" w:hAnsi="宋体" w:cs="宋体"/>
                <w:color w:val="000000"/>
              </w:rPr>
            </w:pPr>
            <w:r>
              <w:rPr>
                <w:rFonts w:hint="eastAsia" w:ascii="宋体" w:hAnsi="宋体" w:cs="宋体"/>
                <w:color w:val="000000"/>
              </w:rPr>
              <w:t>（七）医疗器械退货管理制度；</w:t>
            </w:r>
          </w:p>
          <w:p>
            <w:pPr>
              <w:widowControl/>
              <w:spacing w:line="300" w:lineRule="exact"/>
              <w:textAlignment w:val="top"/>
              <w:rPr>
                <w:rFonts w:hint="eastAsia" w:ascii="宋体" w:hAnsi="宋体" w:cs="宋体"/>
                <w:color w:val="000000"/>
              </w:rPr>
            </w:pPr>
            <w:r>
              <w:rPr>
                <w:rFonts w:hint="eastAsia" w:ascii="宋体" w:hAnsi="宋体" w:cs="宋体"/>
                <w:color w:val="000000"/>
              </w:rPr>
              <w:t>（八）医疗器械不合格品管理制度；</w:t>
            </w:r>
          </w:p>
          <w:p>
            <w:pPr>
              <w:widowControl/>
              <w:spacing w:line="300" w:lineRule="exact"/>
              <w:textAlignment w:val="top"/>
              <w:rPr>
                <w:rFonts w:hint="eastAsia" w:ascii="宋体" w:hAnsi="宋体" w:cs="宋体"/>
                <w:color w:val="000000"/>
              </w:rPr>
            </w:pPr>
            <w:r>
              <w:rPr>
                <w:rFonts w:hint="eastAsia" w:ascii="宋体" w:hAnsi="宋体" w:cs="宋体"/>
                <w:color w:val="000000"/>
              </w:rPr>
              <w:t>（九）医疗器械质量记录管理制度；</w:t>
            </w:r>
          </w:p>
          <w:p>
            <w:pPr>
              <w:widowControl/>
              <w:spacing w:line="300" w:lineRule="exact"/>
              <w:textAlignment w:val="top"/>
              <w:rPr>
                <w:rFonts w:hint="eastAsia" w:ascii="宋体" w:hAnsi="宋体" w:cs="宋体"/>
                <w:color w:val="000000"/>
              </w:rPr>
            </w:pPr>
            <w:r>
              <w:rPr>
                <w:rFonts w:hint="eastAsia" w:ascii="宋体" w:hAnsi="宋体" w:cs="宋体"/>
                <w:color w:val="000000"/>
              </w:rPr>
              <w:t>（十）冷链医疗器械管理制度及应急制度（若涉及）；</w:t>
            </w:r>
          </w:p>
          <w:p>
            <w:pPr>
              <w:widowControl/>
              <w:spacing w:line="300" w:lineRule="exact"/>
              <w:textAlignment w:val="top"/>
              <w:rPr>
                <w:rFonts w:hint="eastAsia" w:ascii="宋体" w:hAnsi="宋体" w:cs="宋体"/>
                <w:color w:val="000000"/>
              </w:rPr>
            </w:pPr>
            <w:r>
              <w:rPr>
                <w:rFonts w:hint="eastAsia" w:ascii="宋体" w:hAnsi="宋体" w:cs="宋体"/>
                <w:color w:val="000000"/>
              </w:rPr>
              <w:t>（十一）医疗器械追溯管理制度；</w:t>
            </w:r>
          </w:p>
          <w:p>
            <w:pPr>
              <w:widowControl/>
              <w:spacing w:line="300" w:lineRule="exact"/>
              <w:textAlignment w:val="top"/>
              <w:rPr>
                <w:rFonts w:hint="eastAsia" w:ascii="宋体" w:hAnsi="宋体" w:cs="宋体"/>
                <w:color w:val="000000"/>
              </w:rPr>
            </w:pPr>
            <w:r>
              <w:rPr>
                <w:rFonts w:hint="eastAsia" w:ascii="宋体" w:hAnsi="宋体" w:cs="宋体"/>
                <w:color w:val="000000"/>
              </w:rPr>
              <w:t>（十二）医疗器械不良事件监测及产品召回管理制度；</w:t>
            </w:r>
          </w:p>
          <w:p>
            <w:pPr>
              <w:widowControl/>
              <w:spacing w:line="300" w:lineRule="exact"/>
              <w:textAlignment w:val="top"/>
              <w:rPr>
                <w:rStyle w:val="6"/>
                <w:rFonts w:hint="eastAsia"/>
                <w:sz w:val="21"/>
                <w:szCs w:val="21"/>
              </w:rPr>
            </w:pPr>
            <w:r>
              <w:rPr>
                <w:rFonts w:hint="eastAsia" w:ascii="宋体" w:hAnsi="宋体" w:cs="宋体"/>
                <w:color w:val="000000"/>
              </w:rPr>
              <w:t>（十三）数据安全管理制度；</w:t>
            </w:r>
          </w:p>
        </w:tc>
        <w:tc>
          <w:tcPr>
            <w:tcW w:w="2127" w:type="pct"/>
            <w:noWrap w:val="0"/>
            <w:vAlign w:val="center"/>
          </w:tcPr>
          <w:p>
            <w:pPr>
              <w:spacing w:line="300" w:lineRule="exact"/>
              <w:rPr>
                <w:rFonts w:ascii="宋体" w:hAnsi="宋体" w:cs="宋体"/>
                <w:color w:val="000000"/>
              </w:rPr>
            </w:pPr>
            <w:r>
              <w:rPr>
                <w:rFonts w:ascii="宋体" w:hAnsi="宋体" w:cs="宋体"/>
                <w:color w:val="000000"/>
              </w:rPr>
              <w:t>1.</w:t>
            </w:r>
            <w:r>
              <w:rPr>
                <w:rFonts w:hint="eastAsia" w:ascii="宋体" w:hAnsi="宋体" w:cs="宋体"/>
                <w:color w:val="000000"/>
              </w:rPr>
              <w:t>查看质量管理文件，确认相关内容。</w:t>
            </w:r>
          </w:p>
        </w:tc>
        <w:tc>
          <w:tcPr>
            <w:tcW w:w="584" w:type="pct"/>
            <w:vMerge w:val="restar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int="eastAsia"/>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9" w:hRule="atLeast"/>
          <w:jc w:val="center"/>
        </w:trPr>
        <w:tc>
          <w:tcPr>
            <w:tcW w:w="327" w:type="pct"/>
            <w:noWrap w:val="0"/>
            <w:vAlign w:val="center"/>
          </w:tcPr>
          <w:p>
            <w:pPr>
              <w:widowControl/>
              <w:spacing w:line="300" w:lineRule="exact"/>
              <w:jc w:val="center"/>
              <w:textAlignment w:val="top"/>
              <w:rPr>
                <w:rFonts w:hint="eastAsia" w:ascii="宋体" w:hAnsi="宋体" w:cs="宋体"/>
                <w:color w:val="000000"/>
              </w:rPr>
            </w:pPr>
            <w:r>
              <w:rPr>
                <w:rFonts w:hint="eastAsia" w:ascii="宋体" w:hAnsi="宋体" w:cs="宋体"/>
                <w:color w:val="000000"/>
              </w:rPr>
              <w:t>*1.3</w:t>
            </w:r>
          </w:p>
        </w:tc>
        <w:tc>
          <w:tcPr>
            <w:tcW w:w="1962" w:type="pct"/>
            <w:noWrap w:val="0"/>
            <w:vAlign w:val="center"/>
          </w:tcPr>
          <w:p>
            <w:pPr>
              <w:widowControl/>
              <w:spacing w:line="280" w:lineRule="exact"/>
              <w:textAlignment w:val="top"/>
              <w:rPr>
                <w:rFonts w:hint="eastAsia" w:ascii="宋体" w:hAnsi="宋体" w:cs="宋体"/>
                <w:color w:val="000000"/>
              </w:rPr>
            </w:pPr>
            <w:r>
              <w:rPr>
                <w:rFonts w:hint="eastAsia" w:ascii="宋体" w:hAnsi="宋体" w:cs="宋体"/>
                <w:color w:val="000000"/>
              </w:rPr>
              <w:t>（十四）医疗器械质量隐患报告制度；</w:t>
            </w:r>
          </w:p>
          <w:p>
            <w:pPr>
              <w:widowControl/>
              <w:spacing w:line="280" w:lineRule="exact"/>
              <w:textAlignment w:val="top"/>
              <w:rPr>
                <w:rFonts w:hint="eastAsia" w:ascii="宋体" w:hAnsi="宋体" w:cs="宋体"/>
                <w:color w:val="000000"/>
              </w:rPr>
            </w:pPr>
            <w:r>
              <w:rPr>
                <w:rFonts w:hint="eastAsia" w:ascii="宋体" w:hAnsi="宋体" w:cs="宋体"/>
                <w:color w:val="000000"/>
              </w:rPr>
              <w:t>（十五）计算机信息系统管理制度；</w:t>
            </w:r>
          </w:p>
          <w:p>
            <w:pPr>
              <w:widowControl/>
              <w:spacing w:line="280" w:lineRule="exact"/>
              <w:textAlignment w:val="top"/>
              <w:rPr>
                <w:rFonts w:hint="eastAsia" w:ascii="宋体" w:hAnsi="宋体" w:cs="宋体"/>
                <w:color w:val="000000"/>
              </w:rPr>
            </w:pPr>
            <w:r>
              <w:rPr>
                <w:rFonts w:hint="eastAsia" w:ascii="宋体" w:hAnsi="宋体" w:cs="宋体"/>
                <w:color w:val="000000"/>
              </w:rPr>
              <w:t>（十六）设施设备维护及验证校准管理制度；</w:t>
            </w:r>
          </w:p>
          <w:p>
            <w:pPr>
              <w:widowControl/>
              <w:spacing w:line="280" w:lineRule="exact"/>
              <w:textAlignment w:val="top"/>
              <w:rPr>
                <w:rFonts w:hint="eastAsia" w:ascii="宋体" w:hAnsi="宋体" w:cs="宋体"/>
                <w:color w:val="000000"/>
              </w:rPr>
            </w:pPr>
            <w:r>
              <w:rPr>
                <w:rFonts w:hint="eastAsia" w:ascii="宋体" w:hAnsi="宋体" w:cs="宋体"/>
                <w:color w:val="000000"/>
              </w:rPr>
              <w:t>（十七）环境卫生和人员健康状况的管理制度；</w:t>
            </w:r>
            <w:r>
              <w:rPr>
                <w:rFonts w:hint="eastAsia" w:ascii="宋体" w:hAnsi="宋体" w:cs="宋体"/>
                <w:color w:val="000000"/>
              </w:rPr>
              <w:tab/>
            </w:r>
          </w:p>
          <w:p>
            <w:pPr>
              <w:widowControl/>
              <w:spacing w:line="280" w:lineRule="exact"/>
              <w:textAlignment w:val="top"/>
              <w:rPr>
                <w:rFonts w:hint="eastAsia" w:ascii="宋体" w:hAnsi="宋体" w:cs="宋体"/>
                <w:color w:val="000000"/>
              </w:rPr>
            </w:pPr>
            <w:r>
              <w:rPr>
                <w:rFonts w:hint="eastAsia" w:ascii="宋体" w:hAnsi="宋体" w:cs="宋体"/>
                <w:color w:val="000000"/>
              </w:rPr>
              <w:t>（十八）企业机构设置与岗位质量管理职责制度；</w:t>
            </w:r>
          </w:p>
          <w:p>
            <w:pPr>
              <w:widowControl/>
              <w:spacing w:line="280" w:lineRule="exact"/>
              <w:textAlignment w:val="top"/>
              <w:rPr>
                <w:rFonts w:hint="eastAsia" w:ascii="宋体" w:hAnsi="宋体" w:cs="宋体"/>
                <w:color w:val="000000"/>
              </w:rPr>
            </w:pPr>
            <w:r>
              <w:rPr>
                <w:rFonts w:hint="eastAsia" w:ascii="宋体" w:hAnsi="宋体" w:cs="宋体"/>
                <w:color w:val="000000"/>
              </w:rPr>
              <w:t>（十九）医疗器械收货、验收、上架、在库检查、拣选、复核、包装、运输、退货等各环节操作规程；</w:t>
            </w:r>
          </w:p>
          <w:p>
            <w:pPr>
              <w:spacing w:line="280" w:lineRule="exact"/>
              <w:rPr>
                <w:rFonts w:hint="eastAsia" w:ascii="宋体" w:hAnsi="宋体" w:cs="宋体"/>
                <w:color w:val="000000"/>
              </w:rPr>
            </w:pPr>
            <w:r>
              <w:rPr>
                <w:rFonts w:hint="eastAsia" w:ascii="宋体" w:hAnsi="宋体" w:cs="宋体"/>
                <w:color w:val="000000"/>
              </w:rPr>
              <w:t>（二十）与委托方的质量协议及相关文件。</w:t>
            </w:r>
          </w:p>
        </w:tc>
        <w:tc>
          <w:tcPr>
            <w:tcW w:w="2127" w:type="pct"/>
            <w:noWrap w:val="0"/>
            <w:vAlign w:val="center"/>
          </w:tcPr>
          <w:p>
            <w:pPr>
              <w:spacing w:line="280" w:lineRule="exact"/>
              <w:rPr>
                <w:rFonts w:ascii="宋体" w:hAnsi="宋体" w:cs="宋体"/>
                <w:color w:val="000000"/>
              </w:rPr>
            </w:pPr>
            <w:r>
              <w:rPr>
                <w:rFonts w:ascii="宋体" w:hAnsi="宋体" w:cs="宋体"/>
                <w:color w:val="000000"/>
              </w:rPr>
              <w:t>1.</w:t>
            </w:r>
            <w:r>
              <w:rPr>
                <w:rFonts w:hint="eastAsia" w:ascii="宋体" w:hAnsi="宋体" w:cs="宋体"/>
                <w:color w:val="000000"/>
              </w:rPr>
              <w:t>查看质量管理文件，确认相关内容。</w:t>
            </w:r>
          </w:p>
        </w:tc>
        <w:tc>
          <w:tcPr>
            <w:tcW w:w="584" w:type="pct"/>
            <w:vMerge w:val="continue"/>
            <w:noWrap w:val="0"/>
            <w:vAlign w:val="center"/>
          </w:tcPr>
          <w:p>
            <w:pPr>
              <w:widowControl/>
              <w:spacing w:line="280" w:lineRule="exact"/>
              <w:textAlignment w:val="top"/>
              <w:rPr>
                <w:rStyle w:val="5"/>
                <w:rFonts w:hint="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9" w:hRule="atLeast"/>
          <w:jc w:val="center"/>
        </w:trPr>
        <w:tc>
          <w:tcPr>
            <w:tcW w:w="327" w:type="pct"/>
            <w:noWrap w:val="0"/>
            <w:vAlign w:val="center"/>
          </w:tcPr>
          <w:p>
            <w:pPr>
              <w:widowControl/>
              <w:spacing w:line="300" w:lineRule="exact"/>
              <w:textAlignment w:val="top"/>
              <w:rPr>
                <w:rFonts w:ascii="宋体" w:hAnsi="宋体" w:cs="宋体"/>
                <w:color w:val="000000"/>
                <w:highlight w:val="cyan"/>
              </w:rPr>
            </w:pPr>
            <w:r>
              <w:rPr>
                <w:rFonts w:hint="eastAsia" w:ascii="宋体" w:hAnsi="宋体" w:cs="宋体"/>
                <w:color w:val="000000"/>
              </w:rPr>
              <w:t>*1.4</w:t>
            </w:r>
          </w:p>
        </w:tc>
        <w:tc>
          <w:tcPr>
            <w:tcW w:w="1962" w:type="pct"/>
            <w:noWrap w:val="0"/>
            <w:vAlign w:val="center"/>
          </w:tcPr>
          <w:p>
            <w:pPr>
              <w:widowControl/>
              <w:spacing w:line="280" w:lineRule="exact"/>
              <w:textAlignment w:val="top"/>
              <w:rPr>
                <w:rFonts w:hint="eastAsia" w:ascii="宋体" w:hAnsi="宋体" w:cs="宋体"/>
                <w:color w:val="000000"/>
              </w:rPr>
            </w:pPr>
            <w:r>
              <w:rPr>
                <w:rFonts w:hint="eastAsia" w:ascii="宋体" w:hAnsi="宋体" w:cs="宋体"/>
                <w:color w:val="000000"/>
              </w:rPr>
              <w:t>企业每年应当进行至少一次质量管理体系运行情况自查，形成自查报告，识别质量管理问题，制定改进措施。自查内容应当包括：</w:t>
            </w:r>
          </w:p>
          <w:p>
            <w:pPr>
              <w:widowControl/>
              <w:spacing w:line="280" w:lineRule="exact"/>
              <w:textAlignment w:val="top"/>
              <w:rPr>
                <w:rFonts w:hint="eastAsia" w:ascii="宋体" w:hAnsi="宋体" w:cs="宋体"/>
                <w:color w:val="000000"/>
              </w:rPr>
            </w:pPr>
            <w:r>
              <w:rPr>
                <w:rFonts w:hint="eastAsia" w:ascii="宋体" w:hAnsi="宋体" w:cs="宋体"/>
                <w:color w:val="000000"/>
                <w:lang w:val="en"/>
              </w:rPr>
              <w:t>（</w:t>
            </w:r>
            <w:r>
              <w:rPr>
                <w:rFonts w:hint="eastAsia" w:ascii="宋体" w:hAnsi="宋体" w:cs="宋体"/>
                <w:color w:val="000000"/>
              </w:rPr>
              <w:t>一）管理制度、操作规程是否得到有效实施；</w:t>
            </w:r>
          </w:p>
          <w:p>
            <w:pPr>
              <w:widowControl/>
              <w:spacing w:line="280" w:lineRule="exact"/>
              <w:textAlignment w:val="top"/>
              <w:rPr>
                <w:rFonts w:hint="eastAsia" w:ascii="宋体" w:hAnsi="宋体" w:cs="宋体"/>
                <w:color w:val="000000"/>
              </w:rPr>
            </w:pPr>
            <w:r>
              <w:rPr>
                <w:rFonts w:hint="eastAsia" w:ascii="宋体" w:hAnsi="宋体" w:cs="宋体"/>
                <w:color w:val="000000"/>
                <w:lang w:val="en"/>
              </w:rPr>
              <w:t>（</w:t>
            </w:r>
            <w:r>
              <w:rPr>
                <w:rFonts w:hint="eastAsia" w:ascii="宋体" w:hAnsi="宋体" w:cs="宋体"/>
                <w:color w:val="000000"/>
              </w:rPr>
              <w:t>二）质量记录的准确性、完整性与真实性；</w:t>
            </w:r>
          </w:p>
          <w:p>
            <w:pPr>
              <w:widowControl/>
              <w:spacing w:line="280" w:lineRule="exact"/>
              <w:textAlignment w:val="top"/>
              <w:rPr>
                <w:rFonts w:hint="eastAsia" w:ascii="宋体" w:hAnsi="宋体" w:cs="宋体"/>
                <w:color w:val="000000"/>
              </w:rPr>
            </w:pPr>
            <w:r>
              <w:rPr>
                <w:rFonts w:hint="eastAsia" w:ascii="宋体" w:hAnsi="宋体" w:cs="宋体"/>
                <w:color w:val="000000"/>
                <w:lang w:val="en"/>
              </w:rPr>
              <w:t>（</w:t>
            </w:r>
            <w:r>
              <w:rPr>
                <w:rFonts w:hint="eastAsia" w:ascii="宋体" w:hAnsi="宋体" w:cs="宋体"/>
                <w:color w:val="000000"/>
              </w:rPr>
              <w:t>三）本年度药品监督管理部门检查不符合项是否有效整改，客户投诉、内部质量问题是否得到关注与改进；</w:t>
            </w:r>
          </w:p>
          <w:p>
            <w:pPr>
              <w:widowControl/>
              <w:spacing w:line="280" w:lineRule="exact"/>
              <w:textAlignment w:val="top"/>
              <w:rPr>
                <w:rFonts w:hint="eastAsia" w:ascii="宋体" w:hAnsi="宋体" w:cs="宋体"/>
                <w:color w:val="000000"/>
              </w:rPr>
            </w:pPr>
            <w:r>
              <w:rPr>
                <w:rFonts w:hint="eastAsia" w:ascii="宋体" w:hAnsi="宋体" w:cs="宋体"/>
                <w:color w:val="000000"/>
                <w:lang w:val="en"/>
              </w:rPr>
              <w:t>（</w:t>
            </w:r>
            <w:r>
              <w:rPr>
                <w:rFonts w:hint="eastAsia" w:ascii="宋体" w:hAnsi="宋体" w:cs="宋体"/>
                <w:color w:val="000000"/>
              </w:rPr>
              <w:t>四）质量管理制度与新实施法规、规范性文件的相符性；</w:t>
            </w:r>
          </w:p>
          <w:p>
            <w:pPr>
              <w:widowControl/>
              <w:spacing w:line="280" w:lineRule="exact"/>
              <w:textAlignment w:val="top"/>
              <w:rPr>
                <w:rStyle w:val="6"/>
                <w:rFonts w:hint="eastAsia"/>
                <w:sz w:val="21"/>
                <w:szCs w:val="21"/>
                <w:highlight w:val="cyan"/>
              </w:rPr>
            </w:pPr>
            <w:r>
              <w:rPr>
                <w:rFonts w:hint="eastAsia" w:ascii="宋体" w:hAnsi="宋体" w:cs="宋体"/>
                <w:color w:val="000000"/>
                <w:lang w:val="en"/>
              </w:rPr>
              <w:t>（</w:t>
            </w:r>
            <w:r>
              <w:rPr>
                <w:rFonts w:hint="eastAsia" w:ascii="宋体" w:hAnsi="宋体" w:cs="宋体"/>
                <w:color w:val="000000"/>
              </w:rPr>
              <w:t>五）评估质量管理体系的充分性、适宜性和有效性。</w:t>
            </w:r>
          </w:p>
        </w:tc>
        <w:tc>
          <w:tcPr>
            <w:tcW w:w="2127" w:type="pct"/>
            <w:noWrap w:val="0"/>
            <w:vAlign w:val="center"/>
          </w:tcPr>
          <w:p>
            <w:pPr>
              <w:widowControl/>
              <w:spacing w:line="280" w:lineRule="exact"/>
              <w:textAlignment w:val="top"/>
              <w:rPr>
                <w:rFonts w:ascii="宋体" w:hAnsi="宋体" w:cs="宋体"/>
                <w:color w:val="000000"/>
                <w:highlight w:val="cyan"/>
              </w:rPr>
            </w:pPr>
            <w:r>
              <w:rPr>
                <w:rFonts w:hint="eastAsia" w:ascii="宋体" w:hAnsi="宋体" w:cs="宋体"/>
                <w:color w:val="000000"/>
              </w:rPr>
              <w:t>1．查看企业年度自查报告，确认相关内容。</w:t>
            </w:r>
          </w:p>
        </w:tc>
        <w:tc>
          <w:tcPr>
            <w:tcW w:w="584" w:type="pct"/>
            <w:noWrap w:val="0"/>
            <w:vAlign w:val="center"/>
          </w:tcPr>
          <w:p>
            <w:pPr>
              <w:widowControl/>
              <w:spacing w:line="28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28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28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280" w:lineRule="exact"/>
              <w:textAlignment w:val="top"/>
              <w:rPr>
                <w:rStyle w:val="5"/>
                <w:rFonts w:hint="eastAsia"/>
                <w:sz w:val="21"/>
                <w:szCs w:val="21"/>
                <w:highlight w:val="cyan"/>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jc w:val="center"/>
        </w:trPr>
        <w:tc>
          <w:tcPr>
            <w:tcW w:w="327" w:type="pct"/>
            <w:noWrap w:val="0"/>
            <w:vAlign w:val="center"/>
          </w:tcPr>
          <w:p>
            <w:pPr>
              <w:widowControl/>
              <w:spacing w:line="300" w:lineRule="exact"/>
              <w:textAlignment w:val="top"/>
              <w:rPr>
                <w:rFonts w:hint="eastAsia" w:ascii="宋体" w:hAnsi="宋体" w:cs="宋体"/>
                <w:color w:val="000000"/>
              </w:rPr>
            </w:pPr>
            <w:r>
              <w:rPr>
                <w:rFonts w:hint="eastAsia" w:ascii="宋体" w:hAnsi="宋体" w:cs="宋体"/>
                <w:color w:val="000000"/>
              </w:rPr>
              <w:t xml:space="preserve"> 2.1</w:t>
            </w:r>
          </w:p>
        </w:tc>
        <w:tc>
          <w:tcPr>
            <w:tcW w:w="1962" w:type="pct"/>
            <w:noWrap w:val="0"/>
            <w:vAlign w:val="center"/>
          </w:tcPr>
          <w:p>
            <w:pPr>
              <w:widowControl/>
              <w:spacing w:line="280" w:lineRule="exact"/>
              <w:textAlignment w:val="top"/>
              <w:rPr>
                <w:rStyle w:val="6"/>
                <w:rFonts w:hint="eastAsia"/>
                <w:sz w:val="21"/>
                <w:szCs w:val="21"/>
              </w:rPr>
            </w:pPr>
            <w:r>
              <w:rPr>
                <w:rFonts w:hint="eastAsia" w:ascii="宋体" w:hAnsi="宋体" w:cs="宋体"/>
                <w:color w:val="000000"/>
              </w:rPr>
              <w:t>企业应设立医疗器械物流管理机构，负责医疗器械贮存、运输服务的运营管理。配备的物流管理人员中，应当至少有2人具备物流管理相关专业大专及以上学历或者中级及以上专业技术职称，并具有2年以上医药行业相关工作经历。</w:t>
            </w:r>
          </w:p>
        </w:tc>
        <w:tc>
          <w:tcPr>
            <w:tcW w:w="2127" w:type="pct"/>
            <w:noWrap w:val="0"/>
            <w:vAlign w:val="center"/>
          </w:tcPr>
          <w:p>
            <w:pPr>
              <w:widowControl/>
              <w:spacing w:line="280" w:lineRule="exact"/>
              <w:textAlignment w:val="top"/>
              <w:rPr>
                <w:rFonts w:hint="eastAsia" w:ascii="宋体" w:hAnsi="宋体" w:cs="宋体"/>
                <w:color w:val="000000"/>
                <w:kern w:val="0"/>
              </w:rPr>
            </w:pPr>
            <w:r>
              <w:rPr>
                <w:rFonts w:hint="eastAsia" w:ascii="宋体" w:hAnsi="宋体" w:cs="宋体"/>
                <w:color w:val="000000"/>
                <w:kern w:val="0"/>
              </w:rPr>
              <w:t>1.查看企业组织机构图、员工花名册、劳动用工合同以及工作简历，确认物流管理人员数量；</w:t>
            </w:r>
          </w:p>
          <w:p>
            <w:pPr>
              <w:spacing w:line="280" w:lineRule="exact"/>
              <w:rPr>
                <w:rFonts w:hint="eastAsia" w:ascii="宋体" w:hAnsi="宋体" w:cs="宋体"/>
                <w:color w:val="000000"/>
              </w:rPr>
            </w:pPr>
            <w:r>
              <w:rPr>
                <w:rFonts w:ascii="宋体" w:hAnsi="宋体" w:cs="宋体"/>
                <w:color w:val="000000"/>
              </w:rPr>
              <w:t>2.</w:t>
            </w:r>
            <w:r>
              <w:rPr>
                <w:rFonts w:hint="eastAsia" w:ascii="宋体" w:hAnsi="宋体" w:cs="宋体"/>
                <w:color w:val="000000"/>
              </w:rPr>
              <w:t>查看物流人员相关专业学历毕业证书，确认真实性。</w:t>
            </w:r>
          </w:p>
        </w:tc>
        <w:tc>
          <w:tcPr>
            <w:tcW w:w="584" w:type="pct"/>
            <w:noWrap w:val="0"/>
            <w:vAlign w:val="center"/>
          </w:tcPr>
          <w:p>
            <w:pPr>
              <w:widowControl/>
              <w:spacing w:line="28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28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28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spacing w:line="280" w:lineRule="exact"/>
              <w:textAlignment w:val="top"/>
              <w:rPr>
                <w:rStyle w:val="5"/>
                <w:rFonts w:hint="eastAsia"/>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327" w:type="pct"/>
            <w:noWrap w:val="0"/>
            <w:vAlign w:val="center"/>
          </w:tcPr>
          <w:p>
            <w:pPr>
              <w:widowControl/>
              <w:spacing w:line="300" w:lineRule="exact"/>
              <w:textAlignment w:val="top"/>
              <w:rPr>
                <w:rFonts w:hint="eastAsia" w:ascii="宋体" w:hAnsi="宋体" w:cs="宋体"/>
                <w:color w:val="000000"/>
              </w:rPr>
            </w:pPr>
            <w:r>
              <w:rPr>
                <w:rFonts w:hint="eastAsia" w:ascii="宋体" w:hAnsi="宋体" w:cs="宋体"/>
                <w:color w:val="000000"/>
              </w:rPr>
              <w:t xml:space="preserve"> 2.2</w:t>
            </w:r>
          </w:p>
        </w:tc>
        <w:tc>
          <w:tcPr>
            <w:tcW w:w="1962" w:type="pct"/>
            <w:noWrap w:val="0"/>
            <w:vAlign w:val="center"/>
          </w:tcPr>
          <w:p>
            <w:pPr>
              <w:widowControl/>
              <w:spacing w:line="280" w:lineRule="exact"/>
              <w:textAlignment w:val="top"/>
              <w:rPr>
                <w:rStyle w:val="6"/>
                <w:rFonts w:hint="eastAsia"/>
                <w:sz w:val="21"/>
                <w:szCs w:val="21"/>
              </w:rPr>
            </w:pPr>
            <w:r>
              <w:rPr>
                <w:rStyle w:val="6"/>
                <w:rFonts w:hint="eastAsia"/>
                <w:sz w:val="21"/>
                <w:szCs w:val="21"/>
              </w:rPr>
              <w:t>企业应当配备计算机系统管理人员，负责医疗器械贮存、运输服务过程中的计算机系统维护与管理工作。配备的计算机系统管理人员中，应当至少有2人具备计算机相关专业大专及以上学历或者中级及以上专业技术职称，并具有1年以上医药行业相关工作经历。</w:t>
            </w:r>
          </w:p>
        </w:tc>
        <w:tc>
          <w:tcPr>
            <w:tcW w:w="2127" w:type="pct"/>
            <w:noWrap w:val="0"/>
            <w:vAlign w:val="center"/>
          </w:tcPr>
          <w:p>
            <w:pPr>
              <w:widowControl/>
              <w:spacing w:line="280" w:lineRule="exact"/>
              <w:textAlignment w:val="top"/>
              <w:rPr>
                <w:rFonts w:hint="eastAsia" w:ascii="宋体" w:hAnsi="宋体" w:cs="宋体"/>
                <w:color w:val="000000"/>
                <w:kern w:val="0"/>
              </w:rPr>
            </w:pPr>
            <w:r>
              <w:rPr>
                <w:rFonts w:hint="eastAsia" w:ascii="宋体" w:hAnsi="宋体" w:cs="宋体"/>
                <w:color w:val="000000"/>
                <w:kern w:val="0"/>
              </w:rPr>
              <w:t>1.查看企业员工花名册、劳动用工合同以及工作简历，确认计算机系统管理人员数量；</w:t>
            </w:r>
          </w:p>
          <w:p>
            <w:pPr>
              <w:widowControl/>
              <w:spacing w:line="280" w:lineRule="exact"/>
              <w:textAlignment w:val="top"/>
              <w:rPr>
                <w:rFonts w:ascii="宋体" w:hAnsi="宋体" w:cs="宋体"/>
                <w:color w:val="000000"/>
              </w:rPr>
            </w:pPr>
            <w:r>
              <w:rPr>
                <w:rFonts w:ascii="宋体" w:hAnsi="宋体" w:cs="宋体"/>
                <w:color w:val="000000"/>
              </w:rPr>
              <w:t>2.</w:t>
            </w:r>
            <w:r>
              <w:rPr>
                <w:rFonts w:hint="eastAsia" w:ascii="宋体" w:hAnsi="宋体" w:cs="宋体"/>
                <w:color w:val="000000"/>
              </w:rPr>
              <w:t>查看计算机管理人员相关专业学历毕业证书，确认真实性。</w:t>
            </w:r>
          </w:p>
        </w:tc>
        <w:tc>
          <w:tcPr>
            <w:tcW w:w="584" w:type="pct"/>
            <w:noWrap w:val="0"/>
            <w:vAlign w:val="center"/>
          </w:tcPr>
          <w:p>
            <w:pPr>
              <w:widowControl/>
              <w:spacing w:line="28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28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28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spacing w:line="280" w:lineRule="exact"/>
              <w:textAlignment w:val="top"/>
              <w:rPr>
                <w:rStyle w:val="5"/>
                <w:rFonts w:hint="eastAsia"/>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327" w:type="pct"/>
            <w:noWrap w:val="0"/>
            <w:vAlign w:val="center"/>
          </w:tcPr>
          <w:p>
            <w:pPr>
              <w:widowControl/>
              <w:spacing w:line="300" w:lineRule="exact"/>
              <w:textAlignment w:val="top"/>
              <w:rPr>
                <w:rFonts w:hint="eastAsia" w:ascii="宋体" w:hAnsi="宋体" w:cs="宋体"/>
                <w:color w:val="000000"/>
              </w:rPr>
            </w:pPr>
            <w:r>
              <w:rPr>
                <w:rFonts w:hint="eastAsia" w:ascii="宋体" w:hAnsi="宋体" w:cs="宋体"/>
                <w:color w:val="000000"/>
              </w:rPr>
              <w:t>2.3</w:t>
            </w:r>
          </w:p>
        </w:tc>
        <w:tc>
          <w:tcPr>
            <w:tcW w:w="1962" w:type="pct"/>
            <w:noWrap w:val="0"/>
            <w:vAlign w:val="center"/>
          </w:tcPr>
          <w:p>
            <w:pPr>
              <w:widowControl/>
              <w:spacing w:line="300" w:lineRule="exact"/>
              <w:textAlignment w:val="top"/>
              <w:rPr>
                <w:rStyle w:val="6"/>
                <w:rFonts w:hint="eastAsia"/>
                <w:sz w:val="21"/>
                <w:szCs w:val="21"/>
              </w:rPr>
            </w:pPr>
            <w:r>
              <w:rPr>
                <w:rStyle w:val="6"/>
                <w:rFonts w:hint="eastAsia"/>
                <w:sz w:val="21"/>
                <w:szCs w:val="21"/>
              </w:rPr>
              <w:t>企业应当至少配备1名设施设备管理人员，负责医疗器械贮存、运输服务过程中的设施设备维护与管理工作。</w:t>
            </w:r>
          </w:p>
        </w:tc>
        <w:tc>
          <w:tcPr>
            <w:tcW w:w="2127" w:type="pct"/>
            <w:noWrap w:val="0"/>
            <w:vAlign w:val="center"/>
          </w:tcPr>
          <w:p>
            <w:pPr>
              <w:widowControl/>
              <w:spacing w:line="300" w:lineRule="exact"/>
              <w:textAlignment w:val="top"/>
              <w:rPr>
                <w:rFonts w:hint="eastAsia" w:ascii="宋体" w:hAnsi="宋体" w:cs="宋体"/>
                <w:color w:val="000000"/>
              </w:rPr>
            </w:pPr>
            <w:r>
              <w:rPr>
                <w:rFonts w:hint="eastAsia" w:ascii="宋体" w:hAnsi="宋体" w:cs="宋体"/>
                <w:color w:val="000000"/>
                <w:kern w:val="0"/>
              </w:rPr>
              <w:t>1.查看企业员工花名册、劳动用工合同，确认设施设备管理岗位人员。</w:t>
            </w:r>
          </w:p>
        </w:tc>
        <w:tc>
          <w:tcPr>
            <w:tcW w:w="584" w:type="pc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spacing w:line="300" w:lineRule="exact"/>
              <w:textAlignment w:val="top"/>
              <w:rPr>
                <w:rFonts w:hint="eastAsia" w:ascii="宋体" w:hAnsi="宋体" w:cs="Times New Roman"/>
                <w:color w:val="000000"/>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327" w:type="pct"/>
            <w:noWrap w:val="0"/>
            <w:vAlign w:val="center"/>
          </w:tcPr>
          <w:p>
            <w:pPr>
              <w:widowControl/>
              <w:spacing w:line="300" w:lineRule="exact"/>
              <w:textAlignment w:val="top"/>
              <w:rPr>
                <w:rFonts w:hint="eastAsia" w:ascii="宋体" w:hAnsi="宋体" w:cs="Times New Roman"/>
                <w:color w:val="000000"/>
              </w:rPr>
            </w:pPr>
            <w:r>
              <w:rPr>
                <w:rFonts w:hint="eastAsia" w:ascii="宋体" w:hAnsi="宋体" w:cs="宋体"/>
                <w:color w:val="000000"/>
              </w:rPr>
              <w:t>*2.4</w:t>
            </w:r>
          </w:p>
        </w:tc>
        <w:tc>
          <w:tcPr>
            <w:tcW w:w="1962" w:type="pct"/>
            <w:noWrap w:val="0"/>
            <w:vAlign w:val="center"/>
          </w:tcPr>
          <w:p>
            <w:pPr>
              <w:widowControl/>
              <w:spacing w:line="300" w:lineRule="exact"/>
              <w:textAlignment w:val="top"/>
              <w:rPr>
                <w:rFonts w:ascii="宋体" w:hAnsi="宋体" w:cs="Times New Roman"/>
                <w:color w:val="000000"/>
              </w:rPr>
            </w:pPr>
            <w:r>
              <w:rPr>
                <w:rStyle w:val="6"/>
                <w:rFonts w:hint="eastAsia"/>
                <w:sz w:val="21"/>
                <w:szCs w:val="21"/>
              </w:rPr>
              <w:t>企业设置的质量负责人原则上应当为企业高层管理人员，能够独立履行职责，在企业内部对医疗器械质量管理具有裁决权，承担相应的质量管理责任。</w:t>
            </w:r>
          </w:p>
        </w:tc>
        <w:tc>
          <w:tcPr>
            <w:tcW w:w="2127" w:type="pct"/>
            <w:noWrap w:val="0"/>
            <w:vAlign w:val="center"/>
          </w:tcPr>
          <w:p>
            <w:pPr>
              <w:snapToGrid w:val="0"/>
              <w:spacing w:line="300" w:lineRule="exact"/>
              <w:rPr>
                <w:rFonts w:ascii="宋体" w:hAnsi="宋体"/>
                <w:color w:val="000000"/>
                <w:kern w:val="0"/>
              </w:rPr>
            </w:pPr>
            <w:r>
              <w:rPr>
                <w:rFonts w:ascii="宋体" w:hAnsi="宋体"/>
                <w:color w:val="000000"/>
                <w:kern w:val="0"/>
              </w:rPr>
              <w:t>1.查看企业质量负责人任命文件和职责权限文件；</w:t>
            </w:r>
          </w:p>
          <w:p>
            <w:pPr>
              <w:widowControl/>
              <w:spacing w:line="300" w:lineRule="exact"/>
              <w:textAlignment w:val="top"/>
              <w:rPr>
                <w:rFonts w:ascii="宋体" w:hAnsi="宋体" w:cs="Times New Roman"/>
                <w:color w:val="000000"/>
              </w:rPr>
            </w:pPr>
            <w:r>
              <w:rPr>
                <w:rFonts w:ascii="宋体" w:hAnsi="宋体"/>
                <w:color w:val="000000"/>
                <w:kern w:val="0"/>
              </w:rPr>
              <w:t>2.查看质量负责人在质量管理工作中履行职责的相关记录（如不合格医疗器械管理、不良事件监测和报告等）。</w:t>
            </w:r>
          </w:p>
        </w:tc>
        <w:tc>
          <w:tcPr>
            <w:tcW w:w="584" w:type="pc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spacing w:line="300" w:lineRule="exact"/>
              <w:textAlignment w:val="top"/>
              <w:rPr>
                <w:rStyle w:val="5"/>
                <w:rFonts w:cs="Times New Roman"/>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7" w:hRule="atLeast"/>
          <w:jc w:val="center"/>
        </w:trPr>
        <w:tc>
          <w:tcPr>
            <w:tcW w:w="327" w:type="pct"/>
            <w:noWrap w:val="0"/>
            <w:vAlign w:val="center"/>
          </w:tcPr>
          <w:p>
            <w:pPr>
              <w:widowControl/>
              <w:spacing w:line="300" w:lineRule="exact"/>
              <w:textAlignment w:val="top"/>
              <w:rPr>
                <w:rFonts w:hint="eastAsia" w:ascii="宋体" w:hAnsi="宋体" w:cs="宋体"/>
                <w:color w:val="000000"/>
                <w:kern w:val="0"/>
              </w:rPr>
            </w:pPr>
            <w:r>
              <w:rPr>
                <w:rFonts w:hint="eastAsia" w:ascii="宋体" w:hAnsi="宋体" w:cs="宋体"/>
                <w:color w:val="000000"/>
              </w:rPr>
              <w:t>*2.5</w:t>
            </w:r>
          </w:p>
        </w:tc>
        <w:tc>
          <w:tcPr>
            <w:tcW w:w="1962" w:type="pct"/>
            <w:noWrap w:val="0"/>
            <w:vAlign w:val="center"/>
          </w:tcPr>
          <w:p>
            <w:pPr>
              <w:widowControl/>
              <w:spacing w:line="300" w:lineRule="exact"/>
              <w:textAlignment w:val="top"/>
              <w:rPr>
                <w:rStyle w:val="6"/>
                <w:rFonts w:cs="Times New Roman"/>
                <w:sz w:val="21"/>
                <w:szCs w:val="21"/>
              </w:rPr>
            </w:pPr>
            <w:r>
              <w:rPr>
                <w:rStyle w:val="6"/>
                <w:rFonts w:hint="eastAsia"/>
                <w:sz w:val="21"/>
                <w:szCs w:val="21"/>
              </w:rPr>
              <w:t>企业应当设立质量管理机构，负责医疗器械贮存、运输服务的质量管理。质量管理人员应当符合《医疗器械经营质量管理规范》规定的专业要求，配备的质量管理人员中，应当至少有2人具备大专及以上学历或者中级以上专业技术职称，同时应当具有3年以上医疗器械质量管理工作经历。</w:t>
            </w:r>
          </w:p>
        </w:tc>
        <w:tc>
          <w:tcPr>
            <w:tcW w:w="2127" w:type="pct"/>
            <w:noWrap w:val="0"/>
            <w:vAlign w:val="center"/>
          </w:tcPr>
          <w:p>
            <w:pPr>
              <w:widowControl/>
              <w:spacing w:line="300" w:lineRule="exact"/>
              <w:textAlignment w:val="top"/>
              <w:rPr>
                <w:rFonts w:hint="eastAsia" w:ascii="宋体" w:hAnsi="宋体"/>
                <w:bCs/>
                <w:color w:val="000000"/>
                <w:kern w:val="0"/>
              </w:rPr>
            </w:pPr>
            <w:r>
              <w:rPr>
                <w:rFonts w:ascii="宋体" w:hAnsi="宋体"/>
                <w:bCs/>
                <w:color w:val="000000"/>
                <w:kern w:val="0"/>
              </w:rPr>
              <w:t>1.</w:t>
            </w:r>
            <w:r>
              <w:rPr>
                <w:rFonts w:hint="eastAsia" w:ascii="宋体" w:hAnsi="宋体" w:cs="宋体"/>
                <w:color w:val="000000"/>
                <w:kern w:val="0"/>
              </w:rPr>
              <w:t>查看企业组织机构图、员工花名册、劳动用工合同以及工作简历，确认企业质量管理人员数量；</w:t>
            </w:r>
          </w:p>
          <w:p>
            <w:pPr>
              <w:widowControl/>
              <w:spacing w:line="300" w:lineRule="exact"/>
              <w:textAlignment w:val="top"/>
              <w:rPr>
                <w:rStyle w:val="6"/>
                <w:rFonts w:cs="Times New Roman"/>
                <w:sz w:val="21"/>
                <w:szCs w:val="21"/>
              </w:rPr>
            </w:pPr>
            <w:r>
              <w:rPr>
                <w:rFonts w:hint="eastAsia" w:ascii="宋体" w:hAnsi="宋体"/>
                <w:bCs/>
                <w:color w:val="000000"/>
                <w:kern w:val="0"/>
              </w:rPr>
              <w:t>2.</w:t>
            </w:r>
            <w:r>
              <w:rPr>
                <w:rFonts w:ascii="宋体" w:hAnsi="宋体"/>
                <w:bCs/>
                <w:color w:val="000000"/>
                <w:kern w:val="0"/>
              </w:rPr>
              <w:t>查看企业质量</w:t>
            </w:r>
            <w:r>
              <w:rPr>
                <w:rFonts w:hint="eastAsia" w:ascii="宋体" w:hAnsi="宋体"/>
                <w:bCs/>
                <w:color w:val="000000"/>
                <w:kern w:val="0"/>
              </w:rPr>
              <w:t>管理</w:t>
            </w:r>
            <w:r>
              <w:rPr>
                <w:rFonts w:ascii="宋体" w:hAnsi="宋体"/>
                <w:bCs/>
                <w:color w:val="000000"/>
                <w:kern w:val="0"/>
              </w:rPr>
              <w:t>人</w:t>
            </w:r>
            <w:r>
              <w:rPr>
                <w:rFonts w:hint="eastAsia" w:ascii="宋体" w:hAnsi="宋体"/>
                <w:bCs/>
                <w:color w:val="000000"/>
                <w:kern w:val="0"/>
              </w:rPr>
              <w:t>员</w:t>
            </w:r>
            <w:r>
              <w:rPr>
                <w:rFonts w:hint="eastAsia" w:ascii="宋体" w:hAnsi="宋体" w:cs="宋体"/>
                <w:color w:val="000000"/>
              </w:rPr>
              <w:t>相关专业学历毕业证书，确认真实性</w:t>
            </w:r>
            <w:r>
              <w:rPr>
                <w:rFonts w:hint="eastAsia" w:ascii="宋体" w:hAnsi="宋体"/>
                <w:bCs/>
                <w:color w:val="000000"/>
                <w:kern w:val="0"/>
              </w:rPr>
              <w:t>。</w:t>
            </w:r>
          </w:p>
        </w:tc>
        <w:tc>
          <w:tcPr>
            <w:tcW w:w="584" w:type="pc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 w:hRule="atLeast"/>
          <w:jc w:val="center"/>
        </w:trPr>
        <w:tc>
          <w:tcPr>
            <w:tcW w:w="327" w:type="pct"/>
            <w:noWrap w:val="0"/>
            <w:vAlign w:val="center"/>
          </w:tcPr>
          <w:p>
            <w:pPr>
              <w:widowControl/>
              <w:spacing w:line="300" w:lineRule="exact"/>
              <w:textAlignment w:val="top"/>
              <w:rPr>
                <w:rFonts w:hint="eastAsia" w:ascii="宋体" w:hAnsi="宋体" w:cs="宋体"/>
                <w:color w:val="000000"/>
                <w:kern w:val="0"/>
              </w:rPr>
            </w:pPr>
            <w:r>
              <w:rPr>
                <w:rFonts w:hint="eastAsia" w:ascii="宋体" w:hAnsi="宋体" w:cs="宋体"/>
                <w:color w:val="000000"/>
              </w:rPr>
              <w:t>*2.6</w:t>
            </w:r>
          </w:p>
        </w:tc>
        <w:tc>
          <w:tcPr>
            <w:tcW w:w="1962" w:type="pct"/>
            <w:noWrap w:val="0"/>
            <w:vAlign w:val="center"/>
          </w:tcPr>
          <w:p>
            <w:pPr>
              <w:widowControl/>
              <w:spacing w:line="300" w:lineRule="exact"/>
              <w:jc w:val="left"/>
              <w:textAlignment w:val="top"/>
              <w:rPr>
                <w:rStyle w:val="6"/>
                <w:rFonts w:cs="Times New Roman"/>
                <w:sz w:val="21"/>
                <w:szCs w:val="21"/>
              </w:rPr>
            </w:pPr>
            <w:r>
              <w:rPr>
                <w:rStyle w:val="6"/>
                <w:rFonts w:hint="eastAsia"/>
                <w:sz w:val="21"/>
                <w:szCs w:val="21"/>
              </w:rPr>
              <w:t>从事体外诊断试剂的质量管理人员，应当有1人为主管检验师或具有检验学相关专业（包括检验学、生物医学工程、生物化学、免疫学、基因学、药学、生物技术、临床医学、医疗器械等专业）大专及以上学历或者中级以上专业技术职称，同时应当具有3年以上医疗器械质量管理工作经历。                                  从事体外诊断试剂验收工作的人员，应当具有检验学相关专业中专及以上学历或者具有检验师初级以上专业技术职称。</w:t>
            </w:r>
          </w:p>
        </w:tc>
        <w:tc>
          <w:tcPr>
            <w:tcW w:w="2127" w:type="pct"/>
            <w:noWrap w:val="0"/>
            <w:vAlign w:val="center"/>
          </w:tcPr>
          <w:p>
            <w:pPr>
              <w:adjustRightInd w:val="0"/>
              <w:snapToGrid w:val="0"/>
              <w:spacing w:line="300" w:lineRule="exact"/>
              <w:rPr>
                <w:rFonts w:ascii="宋体" w:hAnsi="宋体"/>
                <w:color w:val="000000"/>
                <w:kern w:val="0"/>
              </w:rPr>
            </w:pPr>
            <w:r>
              <w:rPr>
                <w:rFonts w:ascii="宋体" w:hAnsi="宋体"/>
                <w:color w:val="000000"/>
                <w:kern w:val="0"/>
              </w:rPr>
              <w:t>1.查看企业</w:t>
            </w:r>
            <w:r>
              <w:rPr>
                <w:rFonts w:hint="eastAsia" w:ascii="宋体" w:hAnsi="宋体"/>
                <w:color w:val="000000"/>
                <w:kern w:val="0"/>
              </w:rPr>
              <w:t>质量管理</w:t>
            </w:r>
            <w:r>
              <w:rPr>
                <w:rFonts w:ascii="宋体" w:hAnsi="宋体"/>
                <w:color w:val="000000"/>
                <w:kern w:val="0"/>
              </w:rPr>
              <w:t>岗位人员劳动用工合同、</w:t>
            </w:r>
            <w:r>
              <w:rPr>
                <w:rFonts w:hint="eastAsia" w:ascii="宋体" w:hAnsi="宋体"/>
                <w:color w:val="000000"/>
                <w:kern w:val="0"/>
              </w:rPr>
              <w:t>工作</w:t>
            </w:r>
            <w:r>
              <w:rPr>
                <w:rFonts w:ascii="宋体" w:hAnsi="宋体"/>
                <w:color w:val="000000"/>
                <w:kern w:val="0"/>
              </w:rPr>
              <w:t>简历</w:t>
            </w:r>
            <w:r>
              <w:rPr>
                <w:rFonts w:hint="eastAsia" w:ascii="宋体" w:hAnsi="宋体"/>
                <w:color w:val="000000"/>
                <w:kern w:val="0"/>
              </w:rPr>
              <w:t>，</w:t>
            </w:r>
            <w:r>
              <w:rPr>
                <w:rFonts w:ascii="宋体" w:hAnsi="宋体"/>
                <w:color w:val="000000"/>
                <w:kern w:val="0"/>
              </w:rPr>
              <w:t>学历或职称证明，</w:t>
            </w:r>
            <w:r>
              <w:rPr>
                <w:rFonts w:hint="eastAsia" w:ascii="宋体" w:hAnsi="宋体"/>
                <w:color w:val="000000"/>
                <w:kern w:val="0"/>
              </w:rPr>
              <w:t>确认真实性；</w:t>
            </w:r>
          </w:p>
          <w:p>
            <w:pPr>
              <w:adjustRightInd w:val="0"/>
              <w:snapToGrid w:val="0"/>
              <w:spacing w:line="300" w:lineRule="exact"/>
              <w:rPr>
                <w:rFonts w:hint="eastAsia" w:ascii="宋体" w:hAnsi="宋体"/>
                <w:color w:val="000000"/>
                <w:kern w:val="0"/>
              </w:rPr>
            </w:pPr>
            <w:r>
              <w:rPr>
                <w:rFonts w:ascii="宋体" w:hAnsi="宋体"/>
                <w:color w:val="000000"/>
                <w:kern w:val="0"/>
              </w:rPr>
              <w:t>2.查看</w:t>
            </w:r>
            <w:r>
              <w:rPr>
                <w:rFonts w:hint="eastAsia" w:ascii="宋体" w:hAnsi="宋体"/>
                <w:color w:val="000000"/>
                <w:kern w:val="0"/>
              </w:rPr>
              <w:t>验收岗位</w:t>
            </w:r>
            <w:r>
              <w:rPr>
                <w:rFonts w:ascii="宋体" w:hAnsi="宋体"/>
                <w:color w:val="000000"/>
                <w:kern w:val="0"/>
              </w:rPr>
              <w:t>人员劳动用工合同、</w:t>
            </w:r>
            <w:r>
              <w:rPr>
                <w:rFonts w:hint="eastAsia" w:ascii="宋体" w:hAnsi="宋体"/>
                <w:color w:val="000000"/>
                <w:kern w:val="0"/>
              </w:rPr>
              <w:t>工作</w:t>
            </w:r>
            <w:r>
              <w:rPr>
                <w:rFonts w:ascii="宋体" w:hAnsi="宋体"/>
                <w:color w:val="000000"/>
                <w:kern w:val="0"/>
              </w:rPr>
              <w:t>简历</w:t>
            </w:r>
            <w:r>
              <w:rPr>
                <w:rFonts w:hint="eastAsia" w:ascii="宋体" w:hAnsi="宋体"/>
                <w:color w:val="000000"/>
                <w:kern w:val="0"/>
              </w:rPr>
              <w:t>、</w:t>
            </w:r>
            <w:r>
              <w:rPr>
                <w:rFonts w:ascii="宋体" w:hAnsi="宋体"/>
                <w:color w:val="000000"/>
                <w:kern w:val="0"/>
              </w:rPr>
              <w:t>学历或职称证明，</w:t>
            </w:r>
            <w:r>
              <w:rPr>
                <w:rFonts w:hint="eastAsia" w:ascii="宋体" w:hAnsi="宋体"/>
                <w:color w:val="000000"/>
                <w:kern w:val="0"/>
              </w:rPr>
              <w:t>确认真实性。</w:t>
            </w:r>
          </w:p>
          <w:p>
            <w:pPr>
              <w:widowControl/>
              <w:spacing w:line="300" w:lineRule="exact"/>
              <w:textAlignment w:val="top"/>
              <w:rPr>
                <w:rStyle w:val="6"/>
                <w:rFonts w:cs="Times New Roman"/>
                <w:sz w:val="21"/>
                <w:szCs w:val="21"/>
              </w:rPr>
            </w:pPr>
          </w:p>
        </w:tc>
        <w:tc>
          <w:tcPr>
            <w:tcW w:w="584" w:type="pc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 w:hRule="atLeast"/>
          <w:jc w:val="center"/>
        </w:trPr>
        <w:tc>
          <w:tcPr>
            <w:tcW w:w="327" w:type="pct"/>
            <w:noWrap w:val="0"/>
            <w:vAlign w:val="center"/>
          </w:tcPr>
          <w:p>
            <w:pPr>
              <w:widowControl/>
              <w:spacing w:line="300" w:lineRule="exact"/>
              <w:textAlignment w:val="top"/>
              <w:rPr>
                <w:rFonts w:hint="eastAsia" w:ascii="宋体" w:hAnsi="宋体" w:cs="宋体"/>
                <w:color w:val="000000"/>
                <w:kern w:val="0"/>
              </w:rPr>
            </w:pPr>
            <w:r>
              <w:rPr>
                <w:rFonts w:hint="eastAsia" w:ascii="宋体" w:hAnsi="宋体" w:cs="宋体"/>
                <w:color w:val="000000"/>
              </w:rPr>
              <w:t>*2.7</w:t>
            </w:r>
          </w:p>
        </w:tc>
        <w:tc>
          <w:tcPr>
            <w:tcW w:w="1962" w:type="pct"/>
            <w:noWrap w:val="0"/>
            <w:vAlign w:val="center"/>
          </w:tcPr>
          <w:p>
            <w:pPr>
              <w:widowControl/>
              <w:spacing w:line="300" w:lineRule="exact"/>
              <w:textAlignment w:val="top"/>
              <w:rPr>
                <w:rStyle w:val="6"/>
                <w:rFonts w:cs="Times New Roman"/>
                <w:sz w:val="21"/>
                <w:szCs w:val="21"/>
              </w:rPr>
            </w:pPr>
            <w:r>
              <w:rPr>
                <w:rStyle w:val="6"/>
                <w:rFonts w:hint="eastAsia"/>
                <w:sz w:val="21"/>
                <w:szCs w:val="21"/>
              </w:rPr>
              <w:t>质量负责人及质量管理人员应当专职专岗，质量管理人员不得兼职其他业务工作。</w:t>
            </w:r>
          </w:p>
        </w:tc>
        <w:tc>
          <w:tcPr>
            <w:tcW w:w="2127" w:type="pct"/>
            <w:noWrap w:val="0"/>
            <w:vAlign w:val="center"/>
          </w:tcPr>
          <w:p>
            <w:pPr>
              <w:widowControl/>
              <w:spacing w:line="300" w:lineRule="exact"/>
              <w:textAlignment w:val="top"/>
              <w:rPr>
                <w:rStyle w:val="6"/>
                <w:rFonts w:hint="eastAsia"/>
                <w:sz w:val="21"/>
                <w:szCs w:val="21"/>
              </w:rPr>
            </w:pPr>
            <w:r>
              <w:rPr>
                <w:rFonts w:hint="eastAsia" w:ascii="宋体" w:hAnsi="宋体" w:cs="宋体"/>
                <w:color w:val="000000"/>
                <w:kern w:val="0"/>
              </w:rPr>
              <w:t>1.查看企业</w:t>
            </w:r>
            <w:r>
              <w:rPr>
                <w:rFonts w:ascii="宋体" w:hAnsi="宋体"/>
                <w:color w:val="000000"/>
                <w:kern w:val="0"/>
              </w:rPr>
              <w:t>质量管理岗位人员</w:t>
            </w:r>
            <w:r>
              <w:rPr>
                <w:rFonts w:hint="eastAsia" w:ascii="宋体" w:hAnsi="宋体"/>
                <w:color w:val="000000"/>
                <w:kern w:val="0"/>
              </w:rPr>
              <w:t>（含质量负责人）相关</w:t>
            </w:r>
            <w:r>
              <w:rPr>
                <w:rFonts w:ascii="宋体" w:hAnsi="宋体"/>
                <w:color w:val="000000"/>
                <w:kern w:val="0"/>
              </w:rPr>
              <w:t>履职记录</w:t>
            </w:r>
            <w:r>
              <w:rPr>
                <w:rFonts w:hint="eastAsia" w:ascii="宋体" w:hAnsi="宋体"/>
                <w:color w:val="000000"/>
                <w:kern w:val="0"/>
              </w:rPr>
              <w:t>及谈话</w:t>
            </w:r>
            <w:r>
              <w:rPr>
                <w:rFonts w:ascii="宋体" w:hAnsi="宋体"/>
                <w:color w:val="000000"/>
                <w:kern w:val="0"/>
              </w:rPr>
              <w:t>方式确认其在职在岗情况</w:t>
            </w:r>
            <w:r>
              <w:rPr>
                <w:rFonts w:hint="eastAsia" w:ascii="宋体" w:hAnsi="宋体"/>
                <w:color w:val="000000"/>
                <w:kern w:val="0"/>
              </w:rPr>
              <w:t>，是否兼职其他业务工作情况</w:t>
            </w:r>
            <w:r>
              <w:rPr>
                <w:rFonts w:hint="eastAsia" w:ascii="宋体" w:hAnsi="宋体" w:cs="宋体"/>
                <w:color w:val="000000"/>
                <w:kern w:val="0"/>
              </w:rPr>
              <w:t>。</w:t>
            </w:r>
          </w:p>
        </w:tc>
        <w:tc>
          <w:tcPr>
            <w:tcW w:w="584" w:type="pc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1" w:hRule="atLeast"/>
          <w:jc w:val="center"/>
        </w:trPr>
        <w:tc>
          <w:tcPr>
            <w:tcW w:w="327" w:type="pct"/>
            <w:noWrap w:val="0"/>
            <w:vAlign w:val="center"/>
          </w:tcPr>
          <w:p>
            <w:pPr>
              <w:widowControl/>
              <w:spacing w:line="300" w:lineRule="exact"/>
              <w:textAlignment w:val="top"/>
              <w:rPr>
                <w:rFonts w:hint="eastAsia" w:ascii="宋体" w:hAnsi="宋体" w:cs="宋体"/>
                <w:color w:val="000000"/>
              </w:rPr>
            </w:pPr>
            <w:r>
              <w:rPr>
                <w:rFonts w:hint="eastAsia" w:ascii="宋体" w:hAnsi="宋体" w:cs="宋体"/>
                <w:color w:val="000000"/>
              </w:rPr>
              <w:t>*2.8</w:t>
            </w:r>
          </w:p>
        </w:tc>
        <w:tc>
          <w:tcPr>
            <w:tcW w:w="1962" w:type="pct"/>
            <w:noWrap w:val="0"/>
            <w:vAlign w:val="center"/>
          </w:tcPr>
          <w:p>
            <w:pPr>
              <w:widowControl/>
              <w:spacing w:line="300" w:lineRule="exact"/>
              <w:textAlignment w:val="top"/>
              <w:rPr>
                <w:rStyle w:val="6"/>
                <w:rFonts w:hint="eastAsia"/>
                <w:sz w:val="21"/>
                <w:szCs w:val="21"/>
              </w:rPr>
            </w:pPr>
            <w:r>
              <w:rPr>
                <w:rStyle w:val="6"/>
                <w:rFonts w:hint="eastAsia"/>
                <w:sz w:val="21"/>
                <w:szCs w:val="21"/>
              </w:rPr>
              <w:t>企业应当对从事医疗器械贮存、运输服务的工作人员进行与其职责和工作内容相关的岗前培训和继续培训，建立培训记录，并经考核合格后方可上岗。培训内容应当至少包括相关法律法规、医疗器械专业知识及技能、物流管理知识、质量管理制度、职责及岗位操作规程、医疗器械运输、贮存的相关标准和技术指南等。</w:t>
            </w:r>
          </w:p>
        </w:tc>
        <w:tc>
          <w:tcPr>
            <w:tcW w:w="2127" w:type="pct"/>
            <w:noWrap w:val="0"/>
            <w:vAlign w:val="center"/>
          </w:tcPr>
          <w:p>
            <w:pPr>
              <w:widowControl/>
              <w:spacing w:line="300" w:lineRule="exact"/>
              <w:textAlignment w:val="top"/>
              <w:rPr>
                <w:rFonts w:ascii="宋体" w:hAnsi="宋体" w:cs="宋体"/>
                <w:color w:val="000000"/>
                <w:kern w:val="0"/>
              </w:rPr>
            </w:pPr>
            <w:r>
              <w:rPr>
                <w:rFonts w:ascii="宋体" w:hAnsi="宋体"/>
                <w:color w:val="000000"/>
                <w:kern w:val="0"/>
              </w:rPr>
              <w:t>1.对照人员</w:t>
            </w:r>
            <w:r>
              <w:rPr>
                <w:rFonts w:hint="eastAsia" w:ascii="宋体" w:hAnsi="宋体"/>
                <w:color w:val="000000"/>
                <w:kern w:val="0"/>
              </w:rPr>
              <w:t>花</w:t>
            </w:r>
            <w:r>
              <w:rPr>
                <w:rFonts w:ascii="宋体" w:hAnsi="宋体"/>
                <w:color w:val="000000"/>
                <w:kern w:val="0"/>
              </w:rPr>
              <w:t>名册查看相关人员的培训计划和培训、考核记录。</w:t>
            </w:r>
          </w:p>
        </w:tc>
        <w:tc>
          <w:tcPr>
            <w:tcW w:w="584" w:type="pct"/>
            <w:noWrap w:val="0"/>
            <w:vAlign w:val="center"/>
          </w:tcPr>
          <w:p>
            <w:pPr>
              <w:widowControl/>
              <w:spacing w:line="300" w:lineRule="exact"/>
              <w:textAlignment w:val="top"/>
              <w:rPr>
                <w:rStyle w:val="5"/>
                <w:rFonts w:hAnsi="Calibri"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int="eastAsia"/>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jc w:val="center"/>
        </w:trPr>
        <w:tc>
          <w:tcPr>
            <w:tcW w:w="327" w:type="pct"/>
            <w:noWrap w:val="0"/>
            <w:vAlign w:val="center"/>
          </w:tcPr>
          <w:p>
            <w:pPr>
              <w:widowControl/>
              <w:spacing w:line="300" w:lineRule="exact"/>
              <w:textAlignment w:val="top"/>
              <w:rPr>
                <w:rFonts w:hint="eastAsia" w:ascii="宋体" w:hAnsi="宋体" w:cs="宋体"/>
                <w:color w:val="000000"/>
              </w:rPr>
            </w:pPr>
            <w:r>
              <w:rPr>
                <w:rFonts w:hint="eastAsia" w:ascii="宋体" w:hAnsi="宋体" w:cs="宋体"/>
                <w:color w:val="000000"/>
              </w:rPr>
              <w:t>2.9</w:t>
            </w:r>
          </w:p>
        </w:tc>
        <w:tc>
          <w:tcPr>
            <w:tcW w:w="1962" w:type="pct"/>
            <w:noWrap w:val="0"/>
            <w:vAlign w:val="center"/>
          </w:tcPr>
          <w:p>
            <w:pPr>
              <w:widowControl/>
              <w:spacing w:line="300" w:lineRule="exact"/>
              <w:textAlignment w:val="top"/>
              <w:rPr>
                <w:rStyle w:val="6"/>
                <w:rFonts w:hint="eastAsia"/>
                <w:sz w:val="21"/>
                <w:szCs w:val="21"/>
              </w:rPr>
            </w:pPr>
            <w:r>
              <w:rPr>
                <w:rStyle w:val="6"/>
                <w:rFonts w:hint="eastAsia"/>
                <w:sz w:val="21"/>
                <w:szCs w:val="21"/>
              </w:rPr>
              <w:t>企业应当建立员工健康档案，质量管理、收货、验收、在库检查、贮存、运输等需直接接触医疗器械岗位的人员，应当至少每年进行一次健康检查。身体条件不符合相应岗位特定要求的，不得从事相关工作。</w:t>
            </w:r>
          </w:p>
        </w:tc>
        <w:tc>
          <w:tcPr>
            <w:tcW w:w="2127" w:type="pct"/>
            <w:noWrap w:val="0"/>
            <w:vAlign w:val="center"/>
          </w:tcPr>
          <w:p>
            <w:pPr>
              <w:adjustRightInd w:val="0"/>
              <w:snapToGrid w:val="0"/>
              <w:spacing w:line="300" w:lineRule="exact"/>
              <w:rPr>
                <w:rFonts w:ascii="宋体" w:hAnsi="宋体"/>
                <w:color w:val="000000"/>
                <w:kern w:val="0"/>
              </w:rPr>
            </w:pPr>
            <w:r>
              <w:rPr>
                <w:rFonts w:ascii="宋体" w:hAnsi="宋体"/>
                <w:color w:val="000000"/>
                <w:kern w:val="0"/>
              </w:rPr>
              <w:t>1.查看直接接触医疗器械岗位人员</w:t>
            </w:r>
            <w:r>
              <w:rPr>
                <w:rFonts w:hint="eastAsia" w:ascii="宋体" w:hAnsi="宋体"/>
                <w:color w:val="000000"/>
                <w:kern w:val="0"/>
              </w:rPr>
              <w:t>上年度或</w:t>
            </w:r>
            <w:r>
              <w:rPr>
                <w:rFonts w:ascii="宋体" w:hAnsi="宋体"/>
                <w:color w:val="000000"/>
                <w:kern w:val="0"/>
              </w:rPr>
              <w:t>本年度的体检报告或健康证明（体检证明包括北京市辖区疾控中心出具的健康证明或由北京市二级（含）以上医疗机构</w:t>
            </w:r>
            <w:r>
              <w:rPr>
                <w:rFonts w:hint="eastAsia" w:ascii="宋体" w:hAnsi="宋体"/>
                <w:color w:val="000000"/>
                <w:kern w:val="0"/>
              </w:rPr>
              <w:t>或专业体检机构</w:t>
            </w:r>
            <w:r>
              <w:rPr>
                <w:rFonts w:ascii="宋体" w:hAnsi="宋体"/>
                <w:color w:val="000000"/>
                <w:kern w:val="0"/>
              </w:rPr>
              <w:t>出具的体检报告，体检需包含入职体检项目）；</w:t>
            </w:r>
          </w:p>
          <w:p>
            <w:pPr>
              <w:widowControl/>
              <w:spacing w:line="300" w:lineRule="exact"/>
              <w:textAlignment w:val="top"/>
              <w:rPr>
                <w:rFonts w:ascii="宋体" w:hAnsi="宋体" w:cs="宋体"/>
                <w:color w:val="000000"/>
                <w:kern w:val="0"/>
              </w:rPr>
            </w:pPr>
            <w:r>
              <w:rPr>
                <w:rFonts w:ascii="宋体" w:hAnsi="宋体"/>
                <w:color w:val="000000"/>
                <w:kern w:val="0"/>
              </w:rPr>
              <w:t>2.抽查直接接触医疗器械岗位人员的健康档案。</w:t>
            </w:r>
          </w:p>
        </w:tc>
        <w:tc>
          <w:tcPr>
            <w:tcW w:w="584" w:type="pct"/>
            <w:noWrap w:val="0"/>
            <w:vAlign w:val="center"/>
          </w:tcPr>
          <w:p>
            <w:pPr>
              <w:widowControl/>
              <w:spacing w:line="300" w:lineRule="exact"/>
              <w:textAlignment w:val="top"/>
              <w:rPr>
                <w:rStyle w:val="5"/>
                <w:rFonts w:hAnsi="Calibri"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int="eastAsia"/>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jc w:val="center"/>
        </w:trPr>
        <w:tc>
          <w:tcPr>
            <w:tcW w:w="327" w:type="pct"/>
            <w:noWrap w:val="0"/>
            <w:vAlign w:val="center"/>
          </w:tcPr>
          <w:p>
            <w:pPr>
              <w:widowControl/>
              <w:spacing w:line="300" w:lineRule="exact"/>
              <w:textAlignment w:val="top"/>
              <w:rPr>
                <w:rFonts w:hint="eastAsia" w:ascii="宋体" w:hAnsi="宋体" w:cs="宋体"/>
                <w:color w:val="000000"/>
                <w:kern w:val="0"/>
              </w:rPr>
            </w:pPr>
            <w:r>
              <w:rPr>
                <w:rFonts w:ascii="宋体" w:hAnsi="宋体" w:cs="宋体"/>
                <w:color w:val="000000"/>
              </w:rPr>
              <w:t>*</w:t>
            </w:r>
            <w:r>
              <w:rPr>
                <w:rFonts w:hint="eastAsia" w:ascii="宋体" w:hAnsi="宋体" w:cs="宋体"/>
                <w:color w:val="000000"/>
                <w:kern w:val="0"/>
              </w:rPr>
              <w:t>3.1</w:t>
            </w:r>
          </w:p>
        </w:tc>
        <w:tc>
          <w:tcPr>
            <w:tcW w:w="1962" w:type="pct"/>
            <w:noWrap w:val="0"/>
            <w:vAlign w:val="center"/>
          </w:tcPr>
          <w:p>
            <w:pPr>
              <w:widowControl/>
              <w:spacing w:line="300" w:lineRule="exact"/>
              <w:textAlignment w:val="top"/>
              <w:rPr>
                <w:rFonts w:ascii="宋体" w:hAnsi="宋体" w:cs="Times New Roman"/>
                <w:color w:val="000000"/>
              </w:rPr>
            </w:pPr>
            <w:r>
              <w:rPr>
                <w:rStyle w:val="6"/>
                <w:rFonts w:hint="eastAsia"/>
                <w:sz w:val="21"/>
                <w:szCs w:val="21"/>
              </w:rPr>
              <w:t>企业应具有与第三方物流业务规模相适应的现代化物流</w:t>
            </w:r>
            <w:r>
              <w:rPr>
                <w:rFonts w:hint="eastAsia" w:ascii="宋体" w:hAnsi="宋体" w:cs="宋体"/>
                <w:color w:val="000000"/>
              </w:rPr>
              <w:t>库房</w:t>
            </w:r>
            <w:r>
              <w:rPr>
                <w:rStyle w:val="6"/>
                <w:rFonts w:hint="eastAsia"/>
                <w:sz w:val="21"/>
                <w:szCs w:val="21"/>
              </w:rPr>
              <w:t>。依据医疗器械产品质量特性和管理要求，合理设置满足不同贮存环境要求的库区与库位。</w:t>
            </w:r>
          </w:p>
        </w:tc>
        <w:tc>
          <w:tcPr>
            <w:tcW w:w="2127" w:type="pct"/>
            <w:noWrap w:val="0"/>
            <w:vAlign w:val="center"/>
          </w:tcPr>
          <w:p>
            <w:pPr>
              <w:widowControl/>
              <w:spacing w:line="300" w:lineRule="exact"/>
              <w:textAlignment w:val="top"/>
              <w:rPr>
                <w:rFonts w:ascii="宋体" w:hAnsi="宋体" w:cs="Times New Roman"/>
                <w:color w:val="000000"/>
              </w:rPr>
            </w:pPr>
            <w:r>
              <w:rPr>
                <w:rFonts w:ascii="宋体" w:hAnsi="宋体"/>
                <w:color w:val="000000"/>
                <w:kern w:val="0"/>
              </w:rPr>
              <w:t>1.查看库房现场分区管理情况。</w:t>
            </w:r>
          </w:p>
        </w:tc>
        <w:tc>
          <w:tcPr>
            <w:tcW w:w="584" w:type="pct"/>
            <w:noWrap w:val="0"/>
            <w:vAlign w:val="center"/>
          </w:tcPr>
          <w:p>
            <w:pPr>
              <w:widowControl/>
              <w:spacing w:line="300" w:lineRule="exact"/>
              <w:textAlignment w:val="top"/>
              <w:rPr>
                <w:rStyle w:val="5"/>
                <w:rFonts w:hAnsi="Calibri"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spacing w:line="300" w:lineRule="exact"/>
              <w:textAlignment w:val="top"/>
              <w:rPr>
                <w:rFonts w:ascii="宋体" w:hAnsi="宋体" w:cs="Times New Roman"/>
                <w:color w:val="000000"/>
                <w:kern w:val="0"/>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327" w:type="pct"/>
            <w:noWrap w:val="0"/>
            <w:vAlign w:val="center"/>
          </w:tcPr>
          <w:p>
            <w:pPr>
              <w:widowControl/>
              <w:spacing w:line="300" w:lineRule="exact"/>
              <w:textAlignment w:val="top"/>
              <w:rPr>
                <w:rFonts w:ascii="宋体" w:hAnsi="宋体" w:cs="Times New Roman"/>
                <w:color w:val="000000"/>
              </w:rPr>
            </w:pPr>
            <w:r>
              <w:rPr>
                <w:rFonts w:hint="eastAsia" w:ascii="宋体" w:hAnsi="宋体" w:cs="宋体"/>
                <w:color w:val="000000"/>
              </w:rPr>
              <w:t>*3.2</w:t>
            </w:r>
          </w:p>
        </w:tc>
        <w:tc>
          <w:tcPr>
            <w:tcW w:w="1962" w:type="pct"/>
            <w:noWrap w:val="0"/>
            <w:vAlign w:val="center"/>
          </w:tcPr>
          <w:p>
            <w:pPr>
              <w:widowControl/>
              <w:spacing w:line="300" w:lineRule="exact"/>
              <w:textAlignment w:val="top"/>
              <w:rPr>
                <w:rFonts w:ascii="宋体" w:hAnsi="宋体" w:cs="Times New Roman"/>
                <w:color w:val="000000"/>
              </w:rPr>
            </w:pPr>
            <w:r>
              <w:rPr>
                <w:rStyle w:val="6"/>
                <w:rFonts w:hint="eastAsia"/>
                <w:sz w:val="21"/>
                <w:szCs w:val="21"/>
              </w:rPr>
              <w:t>主</w:t>
            </w:r>
            <w:r>
              <w:rPr>
                <w:rFonts w:hint="eastAsia" w:ascii="宋体" w:hAnsi="宋体" w:cs="宋体"/>
                <w:color w:val="000000"/>
              </w:rPr>
              <w:t>库房</w:t>
            </w:r>
            <w:r>
              <w:rPr>
                <w:rStyle w:val="6"/>
                <w:rFonts w:hint="eastAsia"/>
                <w:sz w:val="21"/>
                <w:szCs w:val="21"/>
              </w:rPr>
              <w:t>使用面积不得低于1500平方米，分库房使用面积不得低于500平方米，库房总面积不得低于3000平方米。库房地面应平整光滑，进行硬化处理。</w:t>
            </w:r>
          </w:p>
        </w:tc>
        <w:tc>
          <w:tcPr>
            <w:tcW w:w="2127" w:type="pct"/>
            <w:noWrap w:val="0"/>
            <w:vAlign w:val="center"/>
          </w:tcPr>
          <w:p>
            <w:pPr>
              <w:widowControl/>
              <w:spacing w:line="300" w:lineRule="exact"/>
              <w:textAlignment w:val="top"/>
              <w:rPr>
                <w:rFonts w:ascii="宋体" w:cs="Times New Roman"/>
                <w:color w:val="000000"/>
              </w:rPr>
            </w:pPr>
            <w:r>
              <w:rPr>
                <w:rFonts w:ascii="宋体" w:hAnsi="宋体" w:cs="宋体"/>
                <w:color w:val="000000"/>
              </w:rPr>
              <w:t>1.</w:t>
            </w:r>
            <w:r>
              <w:rPr>
                <w:rFonts w:hint="eastAsia" w:ascii="宋体" w:hAnsi="宋体" w:cs="宋体"/>
                <w:color w:val="000000"/>
              </w:rPr>
              <w:t>核实库房使用面积（库房总使用面积不</w:t>
            </w:r>
            <w:r>
              <w:rPr>
                <w:rFonts w:hint="eastAsia" w:cs="宋体"/>
                <w:color w:val="000000"/>
              </w:rPr>
              <w:t>得</w:t>
            </w:r>
            <w:r>
              <w:rPr>
                <w:rFonts w:hint="eastAsia" w:ascii="宋体" w:hAnsi="宋体" w:cs="宋体"/>
                <w:color w:val="000000"/>
              </w:rPr>
              <w:t>低于3</w:t>
            </w:r>
            <w:r>
              <w:rPr>
                <w:rFonts w:ascii="宋体" w:hAnsi="宋体" w:cs="宋体"/>
                <w:color w:val="000000"/>
              </w:rPr>
              <w:t>000</w:t>
            </w:r>
            <w:r>
              <w:rPr>
                <w:rFonts w:hint="eastAsia" w:ascii="宋体" w:hAnsi="宋体" w:cs="宋体"/>
                <w:color w:val="000000"/>
              </w:rPr>
              <w:t>平方米）；</w:t>
            </w:r>
          </w:p>
          <w:p>
            <w:pPr>
              <w:widowControl/>
              <w:spacing w:line="300" w:lineRule="exact"/>
              <w:textAlignment w:val="top"/>
              <w:rPr>
                <w:rStyle w:val="6"/>
                <w:rFonts w:cs="Times New Roman"/>
                <w:sz w:val="21"/>
                <w:szCs w:val="21"/>
              </w:rPr>
            </w:pPr>
            <w:r>
              <w:rPr>
                <w:rFonts w:ascii="宋体" w:hAnsi="宋体" w:cs="宋体"/>
                <w:color w:val="000000"/>
              </w:rPr>
              <w:t>2.</w:t>
            </w:r>
            <w:r>
              <w:rPr>
                <w:rFonts w:hint="eastAsia" w:ascii="宋体" w:hAnsi="宋体" w:cs="宋体"/>
                <w:color w:val="000000"/>
              </w:rPr>
              <w:t>查看库房设置情况及地面情况。</w:t>
            </w:r>
          </w:p>
        </w:tc>
        <w:tc>
          <w:tcPr>
            <w:tcW w:w="584" w:type="pct"/>
            <w:noWrap w:val="0"/>
            <w:vAlign w:val="center"/>
          </w:tcPr>
          <w:p>
            <w:pPr>
              <w:widowControl/>
              <w:spacing w:line="300" w:lineRule="exact"/>
              <w:textAlignment w:val="top"/>
              <w:rPr>
                <w:rStyle w:val="5"/>
                <w:rFonts w:hAnsi="Calibri"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27" w:type="pct"/>
            <w:vMerge w:val="restart"/>
            <w:noWrap w:val="0"/>
            <w:vAlign w:val="center"/>
          </w:tcPr>
          <w:p>
            <w:pPr>
              <w:spacing w:line="300" w:lineRule="exact"/>
              <w:jc w:val="center"/>
              <w:rPr>
                <w:rFonts w:hint="eastAsia" w:ascii="宋体" w:hAnsi="宋体" w:cs="Times New Roman"/>
                <w:color w:val="000000"/>
                <w:kern w:val="0"/>
              </w:rPr>
            </w:pPr>
            <w:r>
              <w:rPr>
                <w:rFonts w:ascii="宋体" w:hAnsi="宋体" w:cs="宋体"/>
                <w:color w:val="000000"/>
              </w:rPr>
              <w:t>*</w:t>
            </w:r>
            <w:r>
              <w:rPr>
                <w:rFonts w:hint="eastAsia" w:ascii="宋体" w:hAnsi="宋体" w:cs="宋体"/>
                <w:color w:val="000000"/>
              </w:rPr>
              <w:t>3</w:t>
            </w:r>
            <w:r>
              <w:rPr>
                <w:rFonts w:hint="eastAsia" w:ascii="宋体" w:hAnsi="宋体" w:cs="宋体"/>
                <w:color w:val="000000"/>
                <w:kern w:val="0"/>
              </w:rPr>
              <w:t>.3</w:t>
            </w:r>
          </w:p>
        </w:tc>
        <w:tc>
          <w:tcPr>
            <w:tcW w:w="1962" w:type="pct"/>
            <w:vMerge w:val="restart"/>
            <w:noWrap w:val="0"/>
            <w:vAlign w:val="center"/>
          </w:tcPr>
          <w:p>
            <w:pPr>
              <w:widowControl/>
              <w:spacing w:line="300" w:lineRule="exact"/>
              <w:textAlignment w:val="top"/>
              <w:rPr>
                <w:rFonts w:ascii="宋体" w:hAnsi="宋体" w:cs="Times New Roman"/>
                <w:color w:val="000000"/>
              </w:rPr>
            </w:pPr>
            <w:r>
              <w:rPr>
                <w:rStyle w:val="6"/>
                <w:rFonts w:hint="eastAsia"/>
                <w:sz w:val="21"/>
                <w:szCs w:val="21"/>
              </w:rPr>
              <w:t>企业配备的拆零拣选货位不得低于5</w:t>
            </w:r>
            <w:r>
              <w:rPr>
                <w:rStyle w:val="6"/>
                <w:sz w:val="21"/>
                <w:szCs w:val="21"/>
              </w:rPr>
              <w:t>000</w:t>
            </w:r>
            <w:r>
              <w:rPr>
                <w:rStyle w:val="6"/>
                <w:rFonts w:hint="eastAsia"/>
                <w:sz w:val="21"/>
                <w:szCs w:val="21"/>
              </w:rPr>
              <w:t>个。</w:t>
            </w:r>
          </w:p>
        </w:tc>
        <w:tc>
          <w:tcPr>
            <w:tcW w:w="2127" w:type="pct"/>
            <w:vMerge w:val="restart"/>
            <w:noWrap w:val="0"/>
            <w:vAlign w:val="center"/>
          </w:tcPr>
          <w:p>
            <w:pPr>
              <w:widowControl/>
              <w:spacing w:line="300" w:lineRule="exact"/>
              <w:textAlignment w:val="top"/>
              <w:rPr>
                <w:rStyle w:val="6"/>
                <w:rFonts w:cs="Times New Roman"/>
                <w:sz w:val="21"/>
                <w:szCs w:val="21"/>
              </w:rPr>
            </w:pPr>
            <w:r>
              <w:rPr>
                <w:rStyle w:val="6"/>
                <w:sz w:val="21"/>
                <w:szCs w:val="21"/>
              </w:rPr>
              <w:t>1.</w:t>
            </w:r>
            <w:r>
              <w:rPr>
                <w:rStyle w:val="6"/>
                <w:rFonts w:hint="eastAsia"/>
                <w:sz w:val="21"/>
                <w:szCs w:val="21"/>
              </w:rPr>
              <w:t>核实拆零拣选货位数量（以</w:t>
            </w:r>
            <w:r>
              <w:rPr>
                <w:rStyle w:val="6"/>
                <w:sz w:val="21"/>
                <w:szCs w:val="21"/>
              </w:rPr>
              <w:t>30</w:t>
            </w:r>
            <w:r>
              <w:rPr>
                <w:rStyle w:val="6"/>
                <w:rFonts w:hint="eastAsia"/>
                <w:sz w:val="21"/>
                <w:szCs w:val="21"/>
              </w:rPr>
              <w:t>厘米</w:t>
            </w:r>
            <w:r>
              <w:rPr>
                <w:rStyle w:val="6"/>
                <w:sz w:val="21"/>
                <w:szCs w:val="21"/>
              </w:rPr>
              <w:t>*30</w:t>
            </w:r>
            <w:r>
              <w:rPr>
                <w:rStyle w:val="6"/>
                <w:rFonts w:hint="eastAsia"/>
                <w:sz w:val="21"/>
                <w:szCs w:val="21"/>
              </w:rPr>
              <w:t>厘米</w:t>
            </w:r>
            <w:r>
              <w:rPr>
                <w:rStyle w:val="6"/>
                <w:sz w:val="21"/>
                <w:szCs w:val="21"/>
              </w:rPr>
              <w:t>*60</w:t>
            </w:r>
            <w:r>
              <w:rPr>
                <w:rStyle w:val="6"/>
                <w:rFonts w:hint="eastAsia"/>
                <w:sz w:val="21"/>
                <w:szCs w:val="21"/>
              </w:rPr>
              <w:t>厘米为一个货位计量单位）。</w:t>
            </w:r>
          </w:p>
        </w:tc>
        <w:tc>
          <w:tcPr>
            <w:tcW w:w="584" w:type="pct"/>
            <w:vMerge w:val="restart"/>
            <w:noWrap w:val="0"/>
            <w:vAlign w:val="center"/>
          </w:tcPr>
          <w:p>
            <w:pPr>
              <w:widowControl/>
              <w:spacing w:line="300" w:lineRule="exact"/>
              <w:textAlignment w:val="top"/>
              <w:rPr>
                <w:rStyle w:val="5"/>
                <w:rFonts w:hAnsi="Calibri"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27" w:type="pct"/>
            <w:vMerge w:val="continue"/>
            <w:noWrap w:val="0"/>
            <w:vAlign w:val="center"/>
          </w:tcPr>
          <w:p>
            <w:pPr>
              <w:spacing w:line="300" w:lineRule="exact"/>
              <w:jc w:val="center"/>
              <w:rPr>
                <w:rFonts w:ascii="宋体" w:hAnsi="宋体" w:cs="Times New Roman"/>
                <w:color w:val="000000"/>
                <w:kern w:val="0"/>
              </w:rPr>
            </w:pPr>
          </w:p>
        </w:tc>
        <w:tc>
          <w:tcPr>
            <w:tcW w:w="1962" w:type="pct"/>
            <w:vMerge w:val="continue"/>
            <w:noWrap w:val="0"/>
            <w:vAlign w:val="center"/>
          </w:tcPr>
          <w:p>
            <w:pPr>
              <w:widowControl/>
              <w:spacing w:line="300" w:lineRule="exact"/>
              <w:textAlignment w:val="top"/>
              <w:rPr>
                <w:rFonts w:ascii="宋体" w:hAnsi="宋体" w:cs="Times New Roman"/>
                <w:color w:val="000000"/>
              </w:rPr>
            </w:pPr>
          </w:p>
        </w:tc>
        <w:tc>
          <w:tcPr>
            <w:tcW w:w="2127" w:type="pct"/>
            <w:vMerge w:val="continue"/>
            <w:noWrap w:val="0"/>
            <w:vAlign w:val="center"/>
          </w:tcPr>
          <w:p>
            <w:pPr>
              <w:widowControl/>
              <w:spacing w:line="300" w:lineRule="exact"/>
              <w:textAlignment w:val="top"/>
              <w:rPr>
                <w:rStyle w:val="6"/>
                <w:rFonts w:cs="Times New Roman"/>
                <w:sz w:val="21"/>
                <w:szCs w:val="21"/>
              </w:rPr>
            </w:pPr>
          </w:p>
        </w:tc>
        <w:tc>
          <w:tcPr>
            <w:tcW w:w="584" w:type="pct"/>
            <w:vMerge w:val="continue"/>
            <w:noWrap w:val="0"/>
            <w:vAlign w:val="center"/>
          </w:tcPr>
          <w:p>
            <w:pPr>
              <w:widowControl/>
              <w:spacing w:line="300" w:lineRule="exact"/>
              <w:textAlignment w:val="top"/>
              <w:rPr>
                <w:rStyle w:val="5"/>
                <w:rFonts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327" w:type="pct"/>
            <w:noWrap w:val="0"/>
            <w:vAlign w:val="center"/>
          </w:tcPr>
          <w:p>
            <w:pPr>
              <w:widowControl/>
              <w:spacing w:line="300" w:lineRule="exact"/>
              <w:textAlignment w:val="top"/>
              <w:rPr>
                <w:rFonts w:hint="eastAsia" w:ascii="宋体" w:hAnsi="宋体" w:cs="Times New Roman"/>
                <w:color w:val="000000"/>
              </w:rPr>
            </w:pPr>
            <w:r>
              <w:rPr>
                <w:rFonts w:ascii="宋体" w:hAnsi="宋体" w:cs="宋体"/>
                <w:color w:val="000000"/>
              </w:rPr>
              <w:t>*</w:t>
            </w:r>
            <w:r>
              <w:rPr>
                <w:rFonts w:hint="eastAsia" w:ascii="宋体" w:hAnsi="宋体" w:cs="宋体"/>
                <w:color w:val="000000"/>
              </w:rPr>
              <w:t>3</w:t>
            </w:r>
            <w:r>
              <w:rPr>
                <w:rFonts w:hint="eastAsia" w:ascii="宋体" w:hAnsi="宋体" w:cs="宋体"/>
                <w:color w:val="000000"/>
                <w:kern w:val="0"/>
              </w:rPr>
              <w:t>.4</w:t>
            </w:r>
          </w:p>
        </w:tc>
        <w:tc>
          <w:tcPr>
            <w:tcW w:w="1962" w:type="pct"/>
            <w:noWrap w:val="0"/>
            <w:vAlign w:val="center"/>
          </w:tcPr>
          <w:p>
            <w:pPr>
              <w:widowControl/>
              <w:spacing w:line="300" w:lineRule="exact"/>
              <w:textAlignment w:val="top"/>
              <w:rPr>
                <w:rFonts w:ascii="宋体" w:hAnsi="宋体" w:cs="Times New Roman"/>
                <w:color w:val="000000"/>
              </w:rPr>
            </w:pPr>
            <w:r>
              <w:rPr>
                <w:rStyle w:val="6"/>
                <w:rFonts w:hint="eastAsia"/>
                <w:sz w:val="21"/>
                <w:szCs w:val="21"/>
              </w:rPr>
              <w:t>企业配备的托盘货位不得低于2</w:t>
            </w:r>
            <w:r>
              <w:rPr>
                <w:rStyle w:val="6"/>
                <w:sz w:val="21"/>
                <w:szCs w:val="21"/>
              </w:rPr>
              <w:t>000</w:t>
            </w:r>
            <w:r>
              <w:rPr>
                <w:rStyle w:val="6"/>
                <w:rFonts w:hint="eastAsia"/>
                <w:sz w:val="21"/>
                <w:szCs w:val="21"/>
              </w:rPr>
              <w:t>个，托盘规格应符合国标《联运通用平托盘主要尺寸及公差》。</w:t>
            </w:r>
          </w:p>
        </w:tc>
        <w:tc>
          <w:tcPr>
            <w:tcW w:w="2127" w:type="pct"/>
            <w:noWrap w:val="0"/>
            <w:vAlign w:val="center"/>
          </w:tcPr>
          <w:p>
            <w:pPr>
              <w:widowControl/>
              <w:spacing w:line="300" w:lineRule="exact"/>
              <w:textAlignment w:val="top"/>
              <w:rPr>
                <w:rStyle w:val="6"/>
                <w:rFonts w:hint="eastAsia"/>
                <w:sz w:val="21"/>
                <w:szCs w:val="21"/>
              </w:rPr>
            </w:pPr>
            <w:r>
              <w:rPr>
                <w:rStyle w:val="6"/>
                <w:sz w:val="21"/>
                <w:szCs w:val="21"/>
              </w:rPr>
              <w:t>1.</w:t>
            </w:r>
            <w:r>
              <w:rPr>
                <w:rStyle w:val="6"/>
                <w:rFonts w:hint="eastAsia"/>
                <w:sz w:val="21"/>
                <w:szCs w:val="21"/>
              </w:rPr>
              <w:t>核实托盘货位数量（以符合国标规格的托盘</w:t>
            </w:r>
            <w:r>
              <w:rPr>
                <w:rStyle w:val="6"/>
                <w:sz w:val="21"/>
                <w:szCs w:val="21"/>
              </w:rPr>
              <w:t>*1.5</w:t>
            </w:r>
            <w:r>
              <w:rPr>
                <w:rStyle w:val="6"/>
                <w:rFonts w:hint="eastAsia"/>
                <w:sz w:val="21"/>
                <w:szCs w:val="21"/>
              </w:rPr>
              <w:t>米为一个货位计量单位）。</w:t>
            </w:r>
          </w:p>
        </w:tc>
        <w:tc>
          <w:tcPr>
            <w:tcW w:w="584" w:type="pct"/>
            <w:noWrap w:val="0"/>
            <w:vAlign w:val="center"/>
          </w:tcPr>
          <w:p>
            <w:pPr>
              <w:widowControl/>
              <w:spacing w:line="300" w:lineRule="exact"/>
              <w:textAlignment w:val="top"/>
              <w:rPr>
                <w:rStyle w:val="5"/>
                <w:rFonts w:hAnsi="Calibri"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jc w:val="center"/>
        </w:trPr>
        <w:tc>
          <w:tcPr>
            <w:tcW w:w="327" w:type="pct"/>
            <w:noWrap w:val="0"/>
            <w:vAlign w:val="center"/>
          </w:tcPr>
          <w:p>
            <w:pPr>
              <w:widowControl/>
              <w:spacing w:line="300" w:lineRule="exact"/>
              <w:textAlignment w:val="top"/>
              <w:rPr>
                <w:rFonts w:hint="eastAsia" w:ascii="宋体" w:hAnsi="宋体" w:cs="Times New Roman"/>
                <w:color w:val="000000"/>
              </w:rPr>
            </w:pPr>
            <w:r>
              <w:rPr>
                <w:rFonts w:ascii="宋体" w:hAnsi="宋体" w:cs="宋体"/>
                <w:color w:val="000000"/>
              </w:rPr>
              <w:t>*</w:t>
            </w:r>
            <w:r>
              <w:rPr>
                <w:rFonts w:hint="eastAsia" w:ascii="宋体" w:hAnsi="宋体" w:cs="宋体"/>
                <w:color w:val="000000"/>
              </w:rPr>
              <w:t>3</w:t>
            </w:r>
            <w:r>
              <w:rPr>
                <w:rFonts w:hint="eastAsia" w:ascii="宋体" w:hAnsi="宋体" w:cs="宋体"/>
                <w:color w:val="000000"/>
                <w:kern w:val="0"/>
              </w:rPr>
              <w:t>.5</w:t>
            </w:r>
          </w:p>
        </w:tc>
        <w:tc>
          <w:tcPr>
            <w:tcW w:w="1962" w:type="pct"/>
            <w:noWrap w:val="0"/>
            <w:vAlign w:val="center"/>
          </w:tcPr>
          <w:p>
            <w:pPr>
              <w:widowControl/>
              <w:spacing w:line="300" w:lineRule="exact"/>
              <w:textAlignment w:val="top"/>
              <w:rPr>
                <w:rStyle w:val="6"/>
                <w:rFonts w:cs="Times New Roman"/>
                <w:sz w:val="21"/>
                <w:szCs w:val="21"/>
              </w:rPr>
            </w:pPr>
            <w:r>
              <w:rPr>
                <w:rStyle w:val="6"/>
                <w:rFonts w:hint="eastAsia"/>
                <w:sz w:val="21"/>
                <w:szCs w:val="21"/>
              </w:rPr>
              <w:t>贮存冷链管理医疗器械（体外诊断试剂类产品等）的，应配备冷库（至少包括1个冷藏库和1个冷冻库），冷藏库容积不得小于1000立方米，冷冻库容积不得小于</w:t>
            </w:r>
            <w:r>
              <w:rPr>
                <w:rStyle w:val="6"/>
                <w:sz w:val="21"/>
                <w:szCs w:val="21"/>
              </w:rPr>
              <w:t>50</w:t>
            </w:r>
            <w:r>
              <w:rPr>
                <w:rStyle w:val="6"/>
                <w:rFonts w:hint="eastAsia"/>
                <w:sz w:val="21"/>
                <w:szCs w:val="21"/>
              </w:rPr>
              <w:t xml:space="preserve">立方米。 </w:t>
            </w:r>
          </w:p>
        </w:tc>
        <w:tc>
          <w:tcPr>
            <w:tcW w:w="2127" w:type="pct"/>
            <w:noWrap w:val="0"/>
            <w:vAlign w:val="center"/>
          </w:tcPr>
          <w:p>
            <w:pPr>
              <w:widowControl/>
              <w:spacing w:line="300" w:lineRule="exact"/>
              <w:textAlignment w:val="top"/>
              <w:rPr>
                <w:rStyle w:val="6"/>
                <w:rFonts w:hAnsi="Calibri" w:cs="Times New Roman"/>
                <w:sz w:val="21"/>
                <w:szCs w:val="21"/>
              </w:rPr>
            </w:pPr>
            <w:r>
              <w:rPr>
                <w:rStyle w:val="6"/>
                <w:sz w:val="21"/>
                <w:szCs w:val="21"/>
              </w:rPr>
              <w:t>1.</w:t>
            </w:r>
            <w:r>
              <w:rPr>
                <w:rStyle w:val="6"/>
                <w:rFonts w:hint="eastAsia"/>
                <w:sz w:val="21"/>
                <w:szCs w:val="21"/>
              </w:rPr>
              <w:t>核实冷藏库容积不得少于1000立方米）；</w:t>
            </w:r>
          </w:p>
          <w:p>
            <w:pPr>
              <w:widowControl/>
              <w:spacing w:line="300" w:lineRule="exact"/>
              <w:textAlignment w:val="top"/>
              <w:rPr>
                <w:rStyle w:val="6"/>
                <w:rFonts w:cs="Times New Roman"/>
                <w:strike/>
                <w:sz w:val="21"/>
                <w:szCs w:val="21"/>
              </w:rPr>
            </w:pPr>
            <w:r>
              <w:rPr>
                <w:rStyle w:val="6"/>
                <w:sz w:val="21"/>
                <w:szCs w:val="21"/>
              </w:rPr>
              <w:t>2.</w:t>
            </w:r>
            <w:r>
              <w:rPr>
                <w:rStyle w:val="6"/>
                <w:rFonts w:hint="eastAsia"/>
                <w:sz w:val="21"/>
                <w:szCs w:val="21"/>
              </w:rPr>
              <w:t>核实冷冻库容积不得少于</w:t>
            </w:r>
            <w:r>
              <w:rPr>
                <w:rStyle w:val="6"/>
                <w:sz w:val="21"/>
                <w:szCs w:val="21"/>
              </w:rPr>
              <w:t>50</w:t>
            </w:r>
            <w:r>
              <w:rPr>
                <w:rStyle w:val="6"/>
                <w:rFonts w:hint="eastAsia"/>
                <w:sz w:val="21"/>
                <w:szCs w:val="21"/>
              </w:rPr>
              <w:t>立方米）。</w:t>
            </w:r>
          </w:p>
        </w:tc>
        <w:tc>
          <w:tcPr>
            <w:tcW w:w="584" w:type="pct"/>
            <w:noWrap w:val="0"/>
            <w:vAlign w:val="center"/>
          </w:tcPr>
          <w:p>
            <w:pPr>
              <w:widowControl/>
              <w:spacing w:line="300" w:lineRule="exact"/>
              <w:textAlignment w:val="top"/>
              <w:rPr>
                <w:rStyle w:val="5"/>
                <w:rFonts w:hAnsi="Calibri"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327" w:type="pct"/>
            <w:noWrap w:val="0"/>
            <w:vAlign w:val="center"/>
          </w:tcPr>
          <w:p>
            <w:pPr>
              <w:widowControl/>
              <w:spacing w:line="300" w:lineRule="exact"/>
              <w:textAlignment w:val="top"/>
              <w:rPr>
                <w:rFonts w:hint="eastAsia" w:ascii="宋体" w:hAnsi="宋体" w:cs="宋体"/>
                <w:color w:val="000000"/>
                <w:kern w:val="0"/>
              </w:rPr>
            </w:pPr>
            <w:r>
              <w:rPr>
                <w:rFonts w:hint="eastAsia" w:ascii="宋体" w:hAnsi="宋体" w:cs="宋体"/>
                <w:color w:val="000000"/>
              </w:rPr>
              <w:t>3</w:t>
            </w:r>
            <w:r>
              <w:rPr>
                <w:rFonts w:hint="eastAsia" w:ascii="宋体" w:hAnsi="宋体" w:cs="宋体"/>
                <w:color w:val="000000"/>
                <w:kern w:val="0"/>
              </w:rPr>
              <w:t>.6</w:t>
            </w:r>
          </w:p>
        </w:tc>
        <w:tc>
          <w:tcPr>
            <w:tcW w:w="1962" w:type="pct"/>
            <w:noWrap w:val="0"/>
            <w:vAlign w:val="center"/>
          </w:tcPr>
          <w:p>
            <w:pPr>
              <w:widowControl/>
              <w:spacing w:line="300" w:lineRule="exact"/>
              <w:textAlignment w:val="top"/>
              <w:rPr>
                <w:rFonts w:ascii="宋体" w:hAnsi="宋体" w:cs="Times New Roman"/>
                <w:color w:val="000000"/>
                <w:kern w:val="0"/>
              </w:rPr>
            </w:pPr>
            <w:r>
              <w:rPr>
                <w:rStyle w:val="6"/>
                <w:rFonts w:hint="eastAsia"/>
                <w:sz w:val="21"/>
                <w:szCs w:val="21"/>
                <w:lang w:val="en"/>
              </w:rPr>
              <w:t>委托产品包含非医疗器械产品时，应当做好库房分区管理，制定措施确保医疗器械贮存环境安全。</w:t>
            </w:r>
          </w:p>
        </w:tc>
        <w:tc>
          <w:tcPr>
            <w:tcW w:w="2127" w:type="pct"/>
            <w:noWrap w:val="0"/>
            <w:vAlign w:val="center"/>
          </w:tcPr>
          <w:p>
            <w:pPr>
              <w:widowControl/>
              <w:spacing w:line="300" w:lineRule="exact"/>
              <w:textAlignment w:val="top"/>
              <w:rPr>
                <w:rStyle w:val="6"/>
                <w:rFonts w:cs="Times New Roman"/>
                <w:sz w:val="21"/>
                <w:szCs w:val="21"/>
              </w:rPr>
            </w:pPr>
            <w:r>
              <w:rPr>
                <w:rStyle w:val="6"/>
                <w:rFonts w:hint="eastAsia"/>
                <w:sz w:val="21"/>
                <w:szCs w:val="21"/>
              </w:rPr>
              <w:t>1.</w:t>
            </w:r>
            <w:r>
              <w:rPr>
                <w:rStyle w:val="6"/>
                <w:rFonts w:hint="eastAsia"/>
                <w:sz w:val="21"/>
                <w:szCs w:val="21"/>
                <w:lang w:val="en"/>
              </w:rPr>
              <w:t>医疗器械和非医疗器械组合销售出库的产品可不分开存放。</w:t>
            </w:r>
          </w:p>
        </w:tc>
        <w:tc>
          <w:tcPr>
            <w:tcW w:w="584" w:type="pct"/>
            <w:noWrap w:val="0"/>
            <w:vAlign w:val="center"/>
          </w:tcPr>
          <w:p>
            <w:pPr>
              <w:widowControl/>
              <w:spacing w:line="300" w:lineRule="exact"/>
              <w:textAlignment w:val="top"/>
              <w:rPr>
                <w:rStyle w:val="5"/>
                <w:rFonts w:hAnsi="Calibri"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327" w:type="pct"/>
            <w:noWrap w:val="0"/>
            <w:vAlign w:val="center"/>
          </w:tcPr>
          <w:p>
            <w:pPr>
              <w:widowControl/>
              <w:spacing w:line="300" w:lineRule="exact"/>
              <w:ind w:left="210" w:hanging="210" w:hangingChars="100"/>
              <w:textAlignment w:val="top"/>
              <w:rPr>
                <w:rFonts w:ascii="宋体" w:hAnsi="宋体" w:cs="宋体"/>
                <w:color w:val="000000"/>
              </w:rPr>
            </w:pPr>
            <w:r>
              <w:rPr>
                <w:rFonts w:hint="eastAsia" w:ascii="宋体" w:hAnsi="宋体" w:cs="宋体"/>
                <w:color w:val="000000"/>
              </w:rPr>
              <w:t xml:space="preserve">*4.1  </w:t>
            </w:r>
          </w:p>
        </w:tc>
        <w:tc>
          <w:tcPr>
            <w:tcW w:w="1962" w:type="pct"/>
            <w:noWrap w:val="0"/>
            <w:vAlign w:val="center"/>
          </w:tcPr>
          <w:p>
            <w:pPr>
              <w:widowControl/>
              <w:spacing w:line="300" w:lineRule="exact"/>
              <w:textAlignment w:val="top"/>
              <w:rPr>
                <w:rFonts w:hint="eastAsia" w:ascii="宋体" w:hAnsi="宋体" w:cs="宋体"/>
                <w:color w:val="000000"/>
              </w:rPr>
            </w:pPr>
            <w:r>
              <w:rPr>
                <w:rStyle w:val="6"/>
                <w:rFonts w:hint="eastAsia"/>
                <w:sz w:val="21"/>
                <w:szCs w:val="21"/>
                <w:lang w:val="en"/>
              </w:rPr>
              <w:t>企业应当配备与所提供贮存、运输服务规模相适应的设备设施，仓储设备设施应当满足医疗器械贮存、运输服务全过程的物流操作与质量管理要求，包含计算机硬件设备、医疗器械唯一标识采集识读设备、货架系统、装卸搬运设备、自动温湿度监控及控制设备、运输车辆等。</w:t>
            </w:r>
          </w:p>
        </w:tc>
        <w:tc>
          <w:tcPr>
            <w:tcW w:w="2127" w:type="pct"/>
            <w:noWrap w:val="0"/>
            <w:vAlign w:val="center"/>
          </w:tcPr>
          <w:p>
            <w:pPr>
              <w:widowControl/>
              <w:spacing w:line="300" w:lineRule="exact"/>
              <w:jc w:val="left"/>
              <w:textAlignment w:val="top"/>
              <w:rPr>
                <w:rFonts w:ascii="宋体" w:hAnsi="宋体" w:cs="宋体"/>
                <w:color w:val="000000"/>
              </w:rPr>
            </w:pPr>
            <w:r>
              <w:rPr>
                <w:rFonts w:ascii="宋体" w:hAnsi="宋体" w:cs="宋体"/>
                <w:color w:val="000000"/>
                <w:kern w:val="0"/>
              </w:rPr>
              <w:t>1.</w:t>
            </w:r>
            <w:r>
              <w:rPr>
                <w:rFonts w:hint="eastAsia" w:ascii="宋体" w:hAnsi="宋体" w:cs="宋体"/>
                <w:color w:val="000000"/>
                <w:kern w:val="0"/>
              </w:rPr>
              <w:t>查看企业设施设备清单，通过现场核实及模拟操作确认</w:t>
            </w:r>
            <w:r>
              <w:rPr>
                <w:rStyle w:val="6"/>
                <w:rFonts w:hint="eastAsia"/>
                <w:sz w:val="21"/>
                <w:szCs w:val="21"/>
              </w:rPr>
              <w:t>。</w:t>
            </w:r>
          </w:p>
        </w:tc>
        <w:tc>
          <w:tcPr>
            <w:tcW w:w="584" w:type="pct"/>
            <w:noWrap w:val="0"/>
            <w:vAlign w:val="center"/>
          </w:tcPr>
          <w:p>
            <w:pPr>
              <w:widowControl/>
              <w:spacing w:line="300" w:lineRule="exact"/>
              <w:textAlignment w:val="top"/>
              <w:rPr>
                <w:rStyle w:val="5"/>
                <w:rFonts w:hAnsi="Calibri"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int="eastAsia"/>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327" w:type="pct"/>
            <w:noWrap w:val="0"/>
            <w:vAlign w:val="center"/>
          </w:tcPr>
          <w:p>
            <w:pPr>
              <w:widowControl/>
              <w:spacing w:line="300" w:lineRule="exact"/>
              <w:textAlignment w:val="top"/>
              <w:rPr>
                <w:rFonts w:hint="eastAsia" w:ascii="宋体" w:hAnsi="宋体" w:cs="宋体"/>
                <w:color w:val="000000"/>
              </w:rPr>
            </w:pPr>
            <w:r>
              <w:rPr>
                <w:rFonts w:hint="eastAsia" w:ascii="宋体" w:hAnsi="宋体" w:cs="宋体"/>
                <w:color w:val="000000"/>
              </w:rPr>
              <w:t>*4.2</w:t>
            </w:r>
          </w:p>
        </w:tc>
        <w:tc>
          <w:tcPr>
            <w:tcW w:w="1962" w:type="pct"/>
            <w:noWrap w:val="0"/>
            <w:vAlign w:val="center"/>
          </w:tcPr>
          <w:p>
            <w:pPr>
              <w:widowControl/>
              <w:spacing w:line="300" w:lineRule="exact"/>
              <w:textAlignment w:val="top"/>
              <w:rPr>
                <w:rStyle w:val="6"/>
                <w:rFonts w:hint="eastAsia"/>
                <w:sz w:val="21"/>
                <w:szCs w:val="21"/>
              </w:rPr>
            </w:pPr>
            <w:r>
              <w:rPr>
                <w:rFonts w:hint="eastAsia" w:ascii="宋体" w:hAnsi="宋体" w:cs="宋体"/>
                <w:color w:val="000000"/>
                <w:kern w:val="0"/>
              </w:rPr>
              <w:t>医疗器械唯一标识采集识读设备。应当配备医疗器械唯一标识采集识读设备，能够通过采集识读设备准确采集与记录医疗器械唯一标识与医疗器械产品信息，实现对医疗器械贮存、运输环节的全程追溯。</w:t>
            </w:r>
          </w:p>
        </w:tc>
        <w:tc>
          <w:tcPr>
            <w:tcW w:w="2127" w:type="pct"/>
            <w:noWrap w:val="0"/>
            <w:vAlign w:val="center"/>
          </w:tcPr>
          <w:p>
            <w:pPr>
              <w:widowControl/>
              <w:spacing w:line="300" w:lineRule="exact"/>
              <w:textAlignment w:val="top"/>
              <w:rPr>
                <w:rStyle w:val="6"/>
                <w:rFonts w:hAnsi="Calibri" w:cs="Times New Roman"/>
                <w:sz w:val="21"/>
                <w:szCs w:val="21"/>
              </w:rPr>
            </w:pPr>
            <w:r>
              <w:rPr>
                <w:rStyle w:val="6"/>
                <w:sz w:val="21"/>
                <w:szCs w:val="21"/>
              </w:rPr>
              <w:t>1.</w:t>
            </w:r>
            <w:r>
              <w:rPr>
                <w:rStyle w:val="6"/>
                <w:rFonts w:hint="eastAsia"/>
                <w:sz w:val="21"/>
                <w:szCs w:val="21"/>
              </w:rPr>
              <w:t>现场查看医疗器械唯一标识采集识读识别设备；</w:t>
            </w:r>
          </w:p>
          <w:p>
            <w:pPr>
              <w:widowControl/>
              <w:spacing w:line="300" w:lineRule="exact"/>
              <w:textAlignment w:val="top"/>
              <w:rPr>
                <w:rFonts w:ascii="宋体" w:hAnsi="宋体" w:cs="宋体"/>
                <w:color w:val="000000"/>
                <w:kern w:val="0"/>
              </w:rPr>
            </w:pPr>
            <w:r>
              <w:rPr>
                <w:rStyle w:val="6"/>
                <w:sz w:val="21"/>
                <w:szCs w:val="21"/>
              </w:rPr>
              <w:t>2.</w:t>
            </w:r>
            <w:r>
              <w:rPr>
                <w:rStyle w:val="6"/>
                <w:rFonts w:hint="eastAsia"/>
                <w:sz w:val="21"/>
                <w:szCs w:val="21"/>
              </w:rPr>
              <w:t>通过入库、出库、分拣、检查、盘存、出库复核等环节的</w:t>
            </w:r>
            <w:r>
              <w:rPr>
                <w:rFonts w:hint="eastAsia" w:ascii="宋体" w:hAnsi="宋体" w:cs="宋体"/>
                <w:color w:val="000000"/>
                <w:kern w:val="0"/>
              </w:rPr>
              <w:t>模拟操作，确认相关功能</w:t>
            </w:r>
            <w:r>
              <w:rPr>
                <w:rStyle w:val="6"/>
                <w:rFonts w:hint="eastAsia"/>
                <w:sz w:val="21"/>
                <w:szCs w:val="21"/>
              </w:rPr>
              <w:t>。</w:t>
            </w:r>
          </w:p>
        </w:tc>
        <w:tc>
          <w:tcPr>
            <w:tcW w:w="584" w:type="pct"/>
            <w:noWrap w:val="0"/>
            <w:vAlign w:val="center"/>
          </w:tcPr>
          <w:p>
            <w:pPr>
              <w:widowControl/>
              <w:spacing w:line="300" w:lineRule="exact"/>
              <w:textAlignment w:val="top"/>
              <w:rPr>
                <w:rStyle w:val="5"/>
                <w:rFonts w:hAnsi="Calibri"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int="eastAsia"/>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327" w:type="pct"/>
            <w:noWrap w:val="0"/>
            <w:vAlign w:val="center"/>
          </w:tcPr>
          <w:p>
            <w:pPr>
              <w:widowControl/>
              <w:spacing w:line="300" w:lineRule="exact"/>
              <w:textAlignment w:val="top"/>
              <w:rPr>
                <w:rFonts w:hint="eastAsia" w:ascii="宋体" w:hAnsi="宋体" w:cs="宋体"/>
                <w:color w:val="000000"/>
              </w:rPr>
            </w:pPr>
            <w:r>
              <w:rPr>
                <w:rFonts w:ascii="宋体" w:hAnsi="宋体" w:cs="宋体"/>
                <w:color w:val="000000"/>
              </w:rPr>
              <w:t>*</w:t>
            </w:r>
            <w:r>
              <w:rPr>
                <w:rFonts w:hint="eastAsia" w:ascii="宋体" w:hAnsi="宋体" w:cs="宋体"/>
                <w:color w:val="000000"/>
              </w:rPr>
              <w:t>4</w:t>
            </w:r>
            <w:r>
              <w:rPr>
                <w:rFonts w:ascii="宋体" w:hAnsi="宋体" w:cs="宋体"/>
                <w:color w:val="000000"/>
                <w:kern w:val="0"/>
              </w:rPr>
              <w:t>.</w:t>
            </w:r>
            <w:r>
              <w:rPr>
                <w:rFonts w:hint="eastAsia" w:ascii="宋体" w:hAnsi="宋体" w:cs="宋体"/>
                <w:color w:val="000000"/>
                <w:kern w:val="0"/>
              </w:rPr>
              <w:t>3</w:t>
            </w:r>
          </w:p>
        </w:tc>
        <w:tc>
          <w:tcPr>
            <w:tcW w:w="1962" w:type="pct"/>
            <w:noWrap w:val="0"/>
            <w:vAlign w:val="center"/>
          </w:tcPr>
          <w:p>
            <w:pPr>
              <w:widowControl/>
              <w:spacing w:line="300" w:lineRule="exact"/>
              <w:textAlignment w:val="top"/>
              <w:rPr>
                <w:rFonts w:hint="eastAsia" w:ascii="宋体" w:hAnsi="宋体" w:cs="宋体"/>
                <w:color w:val="000000"/>
              </w:rPr>
            </w:pPr>
            <w:r>
              <w:rPr>
                <w:rStyle w:val="6"/>
                <w:rFonts w:hint="eastAsia"/>
                <w:sz w:val="21"/>
                <w:szCs w:val="21"/>
              </w:rPr>
              <w:t>入库管理设备。可以采用包括但不限于条码编制、打印设备及计算机信息管理设备，在入库医疗器械无有效自动识别标签时对其进行赋码。</w:t>
            </w:r>
          </w:p>
        </w:tc>
        <w:tc>
          <w:tcPr>
            <w:tcW w:w="2127" w:type="pct"/>
            <w:noWrap w:val="0"/>
            <w:vAlign w:val="center"/>
          </w:tcPr>
          <w:p>
            <w:pPr>
              <w:widowControl/>
              <w:spacing w:line="300" w:lineRule="exact"/>
              <w:textAlignment w:val="top"/>
              <w:rPr>
                <w:rFonts w:ascii="宋体" w:hAnsi="宋体" w:cs="宋体"/>
                <w:color w:val="000000"/>
              </w:rPr>
            </w:pPr>
            <w:r>
              <w:rPr>
                <w:rFonts w:ascii="宋体" w:hAnsi="宋体" w:cs="宋体"/>
                <w:color w:val="000000"/>
                <w:kern w:val="0"/>
              </w:rPr>
              <w:t>1.</w:t>
            </w:r>
            <w:r>
              <w:rPr>
                <w:rFonts w:hint="eastAsia" w:ascii="宋体" w:hAnsi="宋体" w:cs="宋体"/>
                <w:color w:val="000000"/>
                <w:kern w:val="0"/>
              </w:rPr>
              <w:t>查看条码编制、打印等设备，并通过模拟操作确认相关功能</w:t>
            </w:r>
            <w:r>
              <w:rPr>
                <w:rStyle w:val="6"/>
                <w:rFonts w:hint="eastAsia"/>
                <w:sz w:val="21"/>
                <w:szCs w:val="21"/>
              </w:rPr>
              <w:t>。</w:t>
            </w:r>
          </w:p>
        </w:tc>
        <w:tc>
          <w:tcPr>
            <w:tcW w:w="584" w:type="pct"/>
            <w:noWrap w:val="0"/>
            <w:vAlign w:val="center"/>
          </w:tcPr>
          <w:p>
            <w:pPr>
              <w:widowControl/>
              <w:spacing w:line="300" w:lineRule="exact"/>
              <w:textAlignment w:val="top"/>
              <w:rPr>
                <w:rStyle w:val="5"/>
                <w:rFonts w:hAnsi="Calibri"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int="eastAsia"/>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327" w:type="pct"/>
            <w:noWrap w:val="0"/>
            <w:vAlign w:val="center"/>
          </w:tcPr>
          <w:p>
            <w:pPr>
              <w:widowControl/>
              <w:spacing w:line="300" w:lineRule="exact"/>
              <w:textAlignment w:val="top"/>
              <w:rPr>
                <w:rFonts w:hint="eastAsia" w:ascii="宋体" w:hAnsi="宋体" w:cs="宋体"/>
                <w:color w:val="000000"/>
              </w:rPr>
            </w:pPr>
            <w:r>
              <w:rPr>
                <w:rFonts w:ascii="宋体" w:hAnsi="宋体" w:cs="宋体"/>
                <w:color w:val="000000"/>
              </w:rPr>
              <w:t>*</w:t>
            </w:r>
            <w:r>
              <w:rPr>
                <w:rFonts w:hint="eastAsia" w:ascii="宋体" w:hAnsi="宋体" w:cs="宋体"/>
                <w:color w:val="000000"/>
                <w:kern w:val="0"/>
              </w:rPr>
              <w:t>4</w:t>
            </w:r>
            <w:r>
              <w:rPr>
                <w:rFonts w:ascii="宋体" w:hAnsi="宋体" w:cs="宋体"/>
                <w:color w:val="000000"/>
                <w:kern w:val="0"/>
              </w:rPr>
              <w:t>.</w:t>
            </w:r>
            <w:r>
              <w:rPr>
                <w:rFonts w:hint="eastAsia" w:ascii="宋体" w:hAnsi="宋体" w:cs="宋体"/>
                <w:color w:val="000000"/>
                <w:kern w:val="0"/>
              </w:rPr>
              <w:t>4</w:t>
            </w:r>
          </w:p>
        </w:tc>
        <w:tc>
          <w:tcPr>
            <w:tcW w:w="1962" w:type="pct"/>
            <w:noWrap w:val="0"/>
            <w:vAlign w:val="center"/>
          </w:tcPr>
          <w:p>
            <w:pPr>
              <w:widowControl/>
              <w:spacing w:line="300" w:lineRule="exact"/>
              <w:textAlignment w:val="top"/>
              <w:rPr>
                <w:rFonts w:hint="eastAsia" w:ascii="宋体" w:hAnsi="宋体" w:cs="宋体"/>
                <w:color w:val="000000"/>
              </w:rPr>
            </w:pPr>
            <w:r>
              <w:rPr>
                <w:rStyle w:val="6"/>
                <w:rFonts w:hint="eastAsia"/>
                <w:sz w:val="21"/>
                <w:szCs w:val="21"/>
              </w:rPr>
              <w:t>货架系统。企业应配备与</w:t>
            </w:r>
            <w:r>
              <w:rPr>
                <w:rFonts w:hint="eastAsia" w:ascii="宋体" w:hAnsi="宋体" w:cs="宋体"/>
                <w:color w:val="000000"/>
              </w:rPr>
              <w:t>第三方物流</w:t>
            </w:r>
            <w:r>
              <w:rPr>
                <w:rStyle w:val="6"/>
                <w:rFonts w:hint="eastAsia"/>
                <w:sz w:val="21"/>
                <w:szCs w:val="21"/>
              </w:rPr>
              <w:t>业务相适应的托盘货架、隔板货架及其他货架（如自动化立体货架、流利式货架等）。</w:t>
            </w:r>
          </w:p>
        </w:tc>
        <w:tc>
          <w:tcPr>
            <w:tcW w:w="2127" w:type="pct"/>
            <w:noWrap w:val="0"/>
            <w:vAlign w:val="center"/>
          </w:tcPr>
          <w:p>
            <w:pPr>
              <w:widowControl/>
              <w:spacing w:line="300" w:lineRule="exact"/>
              <w:textAlignment w:val="top"/>
              <w:rPr>
                <w:rFonts w:ascii="宋体" w:hAnsi="宋体" w:cs="宋体"/>
                <w:color w:val="000000"/>
              </w:rPr>
            </w:pPr>
            <w:r>
              <w:rPr>
                <w:rStyle w:val="6"/>
                <w:sz w:val="21"/>
                <w:szCs w:val="21"/>
              </w:rPr>
              <w:t>1.</w:t>
            </w:r>
            <w:r>
              <w:rPr>
                <w:rStyle w:val="6"/>
                <w:rFonts w:hint="eastAsia"/>
                <w:sz w:val="21"/>
                <w:szCs w:val="21"/>
              </w:rPr>
              <w:t>核实货架配备情况。</w:t>
            </w:r>
          </w:p>
        </w:tc>
        <w:tc>
          <w:tcPr>
            <w:tcW w:w="584" w:type="pct"/>
            <w:noWrap w:val="0"/>
            <w:vAlign w:val="center"/>
          </w:tcPr>
          <w:p>
            <w:pPr>
              <w:widowControl/>
              <w:spacing w:line="300" w:lineRule="exact"/>
              <w:textAlignment w:val="top"/>
              <w:rPr>
                <w:rStyle w:val="5"/>
                <w:rFonts w:hAnsi="Calibri"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int="eastAsia"/>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327" w:type="pct"/>
            <w:noWrap w:val="0"/>
            <w:vAlign w:val="center"/>
          </w:tcPr>
          <w:p>
            <w:pPr>
              <w:spacing w:line="300" w:lineRule="exact"/>
              <w:rPr>
                <w:rFonts w:ascii="宋体" w:hAnsi="宋体" w:cs="宋体"/>
                <w:color w:val="000000"/>
              </w:rPr>
            </w:pPr>
            <w:r>
              <w:rPr>
                <w:rFonts w:ascii="宋体" w:hAnsi="宋体" w:cs="宋体"/>
                <w:color w:val="000000"/>
              </w:rPr>
              <w:t>*</w:t>
            </w:r>
            <w:r>
              <w:rPr>
                <w:rFonts w:hint="eastAsia" w:ascii="宋体" w:hAnsi="宋体" w:cs="宋体"/>
                <w:color w:val="000000"/>
                <w:kern w:val="0"/>
              </w:rPr>
              <w:t>4.5</w:t>
            </w:r>
          </w:p>
        </w:tc>
        <w:tc>
          <w:tcPr>
            <w:tcW w:w="1962" w:type="pct"/>
            <w:noWrap w:val="0"/>
            <w:vAlign w:val="center"/>
          </w:tcPr>
          <w:p>
            <w:pPr>
              <w:widowControl/>
              <w:spacing w:line="300" w:lineRule="exact"/>
              <w:textAlignment w:val="top"/>
              <w:rPr>
                <w:rFonts w:hint="eastAsia" w:ascii="宋体" w:hAnsi="宋体" w:cs="宋体"/>
                <w:color w:val="000000"/>
              </w:rPr>
            </w:pPr>
            <w:r>
              <w:rPr>
                <w:rStyle w:val="6"/>
                <w:rFonts w:hint="eastAsia"/>
                <w:sz w:val="21"/>
                <w:szCs w:val="21"/>
              </w:rPr>
              <w:t>装卸搬运及库内输送设备。包括推车、叉车（手动、电动）及其他设备（如堆垛机、输送机等）。输送设备应覆盖存储区、拣选作业区等作业区域。</w:t>
            </w:r>
          </w:p>
        </w:tc>
        <w:tc>
          <w:tcPr>
            <w:tcW w:w="2127" w:type="pct"/>
            <w:noWrap w:val="0"/>
            <w:vAlign w:val="center"/>
          </w:tcPr>
          <w:p>
            <w:pPr>
              <w:widowControl/>
              <w:spacing w:line="300" w:lineRule="exact"/>
              <w:textAlignment w:val="top"/>
              <w:rPr>
                <w:rStyle w:val="6"/>
                <w:rFonts w:hAnsi="Calibri" w:cs="Times New Roman"/>
                <w:sz w:val="21"/>
                <w:szCs w:val="21"/>
              </w:rPr>
            </w:pPr>
            <w:r>
              <w:rPr>
                <w:rStyle w:val="6"/>
                <w:sz w:val="21"/>
                <w:szCs w:val="21"/>
              </w:rPr>
              <w:t>1.</w:t>
            </w:r>
            <w:r>
              <w:rPr>
                <w:rStyle w:val="6"/>
                <w:rFonts w:hint="eastAsia"/>
                <w:sz w:val="21"/>
                <w:szCs w:val="21"/>
              </w:rPr>
              <w:t>核实推车、手动叉车、电动叉车配置情况，并测试其功能（托盘货架应配备电动叉车，叉车最大高度应满足货架高度上限）；</w:t>
            </w:r>
          </w:p>
          <w:p>
            <w:pPr>
              <w:widowControl/>
              <w:spacing w:line="300" w:lineRule="exact"/>
              <w:textAlignment w:val="top"/>
              <w:rPr>
                <w:rFonts w:ascii="宋体" w:hAnsi="宋体" w:cs="宋体"/>
                <w:color w:val="000000"/>
              </w:rPr>
            </w:pPr>
            <w:r>
              <w:rPr>
                <w:rStyle w:val="6"/>
                <w:sz w:val="21"/>
                <w:szCs w:val="21"/>
              </w:rPr>
              <w:t>2.</w:t>
            </w:r>
            <w:r>
              <w:rPr>
                <w:rStyle w:val="6"/>
                <w:rFonts w:hint="eastAsia"/>
                <w:sz w:val="21"/>
                <w:szCs w:val="21"/>
              </w:rPr>
              <w:t>核实其他装卸搬运及输送设备配置情况。</w:t>
            </w:r>
          </w:p>
        </w:tc>
        <w:tc>
          <w:tcPr>
            <w:tcW w:w="584" w:type="pct"/>
            <w:noWrap w:val="0"/>
            <w:vAlign w:val="center"/>
          </w:tcPr>
          <w:p>
            <w:pPr>
              <w:widowControl/>
              <w:spacing w:line="300" w:lineRule="exact"/>
              <w:textAlignment w:val="top"/>
              <w:rPr>
                <w:rStyle w:val="5"/>
                <w:rFonts w:hAnsi="Calibri"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int="eastAsia"/>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327" w:type="pct"/>
            <w:noWrap w:val="0"/>
            <w:vAlign w:val="center"/>
          </w:tcPr>
          <w:p>
            <w:pPr>
              <w:widowControl/>
              <w:spacing w:line="300" w:lineRule="exact"/>
              <w:textAlignment w:val="top"/>
              <w:rPr>
                <w:rFonts w:ascii="宋体" w:hAnsi="宋体" w:cs="宋体"/>
                <w:color w:val="000000"/>
              </w:rPr>
            </w:pPr>
            <w:r>
              <w:rPr>
                <w:rFonts w:ascii="宋体" w:hAnsi="宋体" w:cs="宋体"/>
                <w:color w:val="000000"/>
              </w:rPr>
              <w:t>*</w:t>
            </w:r>
            <w:r>
              <w:rPr>
                <w:rFonts w:hint="eastAsia" w:ascii="宋体" w:hAnsi="宋体" w:cs="宋体"/>
                <w:color w:val="000000"/>
                <w:kern w:val="0"/>
              </w:rPr>
              <w:t>4.6</w:t>
            </w:r>
          </w:p>
        </w:tc>
        <w:tc>
          <w:tcPr>
            <w:tcW w:w="1962" w:type="pct"/>
            <w:noWrap w:val="0"/>
            <w:vAlign w:val="center"/>
          </w:tcPr>
          <w:p>
            <w:pPr>
              <w:widowControl/>
              <w:spacing w:line="300" w:lineRule="exact"/>
              <w:textAlignment w:val="top"/>
              <w:rPr>
                <w:rFonts w:hint="eastAsia" w:ascii="宋体" w:hAnsi="宋体" w:cs="宋体"/>
                <w:color w:val="000000"/>
              </w:rPr>
            </w:pPr>
            <w:r>
              <w:rPr>
                <w:rStyle w:val="6"/>
                <w:rFonts w:hint="eastAsia"/>
                <w:sz w:val="21"/>
                <w:szCs w:val="21"/>
              </w:rPr>
              <w:t>分拣及出库设备。可以采用电子标签辅助拣货系统、手持终端拣货系统等设备进行分拣。采用电子标签辅助拣货系统的，电子标签数量应与拆零拣选业务相适应，应能实现对每个拣选货位的操作指示。</w:t>
            </w:r>
          </w:p>
        </w:tc>
        <w:tc>
          <w:tcPr>
            <w:tcW w:w="2127" w:type="pct"/>
            <w:noWrap w:val="0"/>
            <w:vAlign w:val="center"/>
          </w:tcPr>
          <w:p>
            <w:pPr>
              <w:widowControl/>
              <w:spacing w:line="300" w:lineRule="exact"/>
              <w:textAlignment w:val="top"/>
              <w:rPr>
                <w:rStyle w:val="6"/>
                <w:rFonts w:hAnsi="Calibri" w:cs="Times New Roman"/>
                <w:sz w:val="21"/>
                <w:szCs w:val="21"/>
              </w:rPr>
            </w:pPr>
            <w:r>
              <w:rPr>
                <w:rStyle w:val="6"/>
                <w:sz w:val="21"/>
                <w:szCs w:val="21"/>
              </w:rPr>
              <w:t>1.</w:t>
            </w:r>
            <w:r>
              <w:rPr>
                <w:rStyle w:val="6"/>
                <w:rFonts w:hint="eastAsia"/>
                <w:sz w:val="21"/>
                <w:szCs w:val="21"/>
              </w:rPr>
              <w:t>核实手持终端（如：</w:t>
            </w:r>
            <w:r>
              <w:rPr>
                <w:rStyle w:val="6"/>
                <w:sz w:val="21"/>
                <w:szCs w:val="21"/>
              </w:rPr>
              <w:t>RF</w:t>
            </w:r>
            <w:r>
              <w:rPr>
                <w:rStyle w:val="6"/>
                <w:rFonts w:hint="eastAsia"/>
                <w:sz w:val="21"/>
                <w:szCs w:val="21"/>
              </w:rPr>
              <w:t>等）数量（每</w:t>
            </w:r>
            <w:r>
              <w:rPr>
                <w:rStyle w:val="6"/>
                <w:sz w:val="21"/>
                <w:szCs w:val="21"/>
              </w:rPr>
              <w:t>1000</w:t>
            </w:r>
            <w:r>
              <w:rPr>
                <w:rStyle w:val="6"/>
                <w:rFonts w:hint="eastAsia"/>
                <w:sz w:val="21"/>
                <w:szCs w:val="21"/>
              </w:rPr>
              <w:t>个货位至少配备</w:t>
            </w:r>
            <w:r>
              <w:rPr>
                <w:rStyle w:val="6"/>
                <w:sz w:val="21"/>
                <w:szCs w:val="21"/>
              </w:rPr>
              <w:t>1</w:t>
            </w:r>
            <w:r>
              <w:rPr>
                <w:rStyle w:val="6"/>
                <w:rFonts w:hint="eastAsia"/>
                <w:sz w:val="21"/>
                <w:szCs w:val="21"/>
              </w:rPr>
              <w:t>个</w:t>
            </w:r>
            <w:r>
              <w:rPr>
                <w:rStyle w:val="6"/>
                <w:sz w:val="21"/>
                <w:szCs w:val="21"/>
              </w:rPr>
              <w:t>RF</w:t>
            </w:r>
            <w:r>
              <w:rPr>
                <w:rStyle w:val="6"/>
                <w:rFonts w:hint="eastAsia"/>
                <w:sz w:val="21"/>
                <w:szCs w:val="21"/>
              </w:rPr>
              <w:t>）；</w:t>
            </w:r>
          </w:p>
          <w:p>
            <w:pPr>
              <w:widowControl/>
              <w:spacing w:line="300" w:lineRule="exact"/>
              <w:textAlignment w:val="top"/>
              <w:rPr>
                <w:rStyle w:val="6"/>
                <w:rFonts w:hAnsi="Calibri" w:cs="Times New Roman"/>
                <w:sz w:val="21"/>
                <w:szCs w:val="21"/>
              </w:rPr>
            </w:pPr>
            <w:r>
              <w:rPr>
                <w:rStyle w:val="6"/>
                <w:sz w:val="21"/>
                <w:szCs w:val="21"/>
              </w:rPr>
              <w:t>2.</w:t>
            </w:r>
            <w:r>
              <w:rPr>
                <w:rStyle w:val="6"/>
                <w:rFonts w:hint="eastAsia"/>
                <w:sz w:val="21"/>
                <w:szCs w:val="21"/>
              </w:rPr>
              <w:t>核实电子标签辅助拣选系统（如：</w:t>
            </w:r>
            <w:r>
              <w:rPr>
                <w:rStyle w:val="6"/>
                <w:sz w:val="21"/>
                <w:szCs w:val="21"/>
              </w:rPr>
              <w:t>DPS</w:t>
            </w:r>
            <w:r>
              <w:rPr>
                <w:rStyle w:val="6"/>
                <w:rFonts w:hint="eastAsia"/>
                <w:sz w:val="21"/>
                <w:szCs w:val="21"/>
              </w:rPr>
              <w:t>等）电子标签管理货位数量（每个货架至少配备</w:t>
            </w:r>
            <w:r>
              <w:rPr>
                <w:rStyle w:val="6"/>
                <w:sz w:val="21"/>
                <w:szCs w:val="21"/>
              </w:rPr>
              <w:t>1</w:t>
            </w:r>
            <w:r>
              <w:rPr>
                <w:rStyle w:val="6"/>
                <w:rFonts w:hint="eastAsia"/>
                <w:sz w:val="21"/>
                <w:szCs w:val="21"/>
              </w:rPr>
              <w:t>个</w:t>
            </w:r>
            <w:r>
              <w:rPr>
                <w:rStyle w:val="6"/>
                <w:sz w:val="21"/>
                <w:szCs w:val="21"/>
              </w:rPr>
              <w:t>DPS</w:t>
            </w:r>
            <w:r>
              <w:rPr>
                <w:rStyle w:val="6"/>
                <w:rFonts w:hint="eastAsia"/>
                <w:sz w:val="21"/>
                <w:szCs w:val="21"/>
              </w:rPr>
              <w:t>）。</w:t>
            </w:r>
          </w:p>
          <w:p>
            <w:pPr>
              <w:widowControl/>
              <w:spacing w:line="300" w:lineRule="exact"/>
              <w:textAlignment w:val="top"/>
              <w:rPr>
                <w:rFonts w:ascii="宋体" w:hAnsi="宋体" w:cs="宋体"/>
                <w:color w:val="000000"/>
              </w:rPr>
            </w:pPr>
            <w:r>
              <w:rPr>
                <w:rFonts w:hint="eastAsia" w:ascii="宋体" w:hAnsi="宋体" w:cs="宋体"/>
                <w:b/>
                <w:color w:val="000000"/>
              </w:rPr>
              <w:t>备注：</w:t>
            </w:r>
            <w:r>
              <w:rPr>
                <w:rFonts w:hint="eastAsia" w:ascii="宋体" w:hAnsi="宋体" w:cs="宋体"/>
                <w:color w:val="000000"/>
              </w:rPr>
              <w:t>1.</w:t>
            </w:r>
            <w:r>
              <w:rPr>
                <w:rStyle w:val="6"/>
                <w:rFonts w:hint="eastAsia"/>
                <w:sz w:val="21"/>
                <w:szCs w:val="21"/>
              </w:rPr>
              <w:t>拆零货位至少采取以上两种方式之一进行拣货。</w:t>
            </w:r>
          </w:p>
        </w:tc>
        <w:tc>
          <w:tcPr>
            <w:tcW w:w="584" w:type="pct"/>
            <w:noWrap w:val="0"/>
            <w:vAlign w:val="center"/>
          </w:tcPr>
          <w:p>
            <w:pPr>
              <w:widowControl/>
              <w:spacing w:line="300" w:lineRule="exact"/>
              <w:textAlignment w:val="top"/>
              <w:rPr>
                <w:rStyle w:val="5"/>
                <w:rFonts w:hAnsi="Calibri"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int="eastAsia"/>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327" w:type="pct"/>
            <w:noWrap w:val="0"/>
            <w:vAlign w:val="center"/>
          </w:tcPr>
          <w:p>
            <w:pPr>
              <w:spacing w:line="300" w:lineRule="exact"/>
              <w:jc w:val="center"/>
              <w:rPr>
                <w:rFonts w:hint="eastAsia" w:ascii="宋体" w:hAnsi="宋体" w:cs="宋体"/>
                <w:color w:val="000000"/>
              </w:rPr>
            </w:pPr>
            <w:r>
              <w:rPr>
                <w:rFonts w:hint="eastAsia" w:ascii="宋体" w:hAnsi="宋体" w:cs="宋体"/>
                <w:color w:val="000000"/>
              </w:rPr>
              <w:t>*4.7</w:t>
            </w:r>
          </w:p>
        </w:tc>
        <w:tc>
          <w:tcPr>
            <w:tcW w:w="1962" w:type="pct"/>
            <w:noWrap w:val="0"/>
            <w:vAlign w:val="center"/>
          </w:tcPr>
          <w:p>
            <w:pPr>
              <w:widowControl/>
              <w:spacing w:line="300" w:lineRule="exact"/>
              <w:textAlignment w:val="top"/>
              <w:rPr>
                <w:rFonts w:hint="eastAsia" w:ascii="宋体" w:hAnsi="宋体" w:cs="宋体"/>
                <w:color w:val="000000"/>
              </w:rPr>
            </w:pPr>
            <w:r>
              <w:rPr>
                <w:rStyle w:val="6"/>
                <w:rFonts w:hint="eastAsia"/>
                <w:sz w:val="21"/>
                <w:szCs w:val="21"/>
              </w:rPr>
              <w:t>环境监测及控制设备。包括库房温湿度自动监测、记录、报警以及温湿度自动控制设备等。</w:t>
            </w:r>
          </w:p>
        </w:tc>
        <w:tc>
          <w:tcPr>
            <w:tcW w:w="2127" w:type="pct"/>
            <w:noWrap w:val="0"/>
            <w:vAlign w:val="center"/>
          </w:tcPr>
          <w:p>
            <w:pPr>
              <w:widowControl/>
              <w:spacing w:line="300" w:lineRule="exact"/>
              <w:textAlignment w:val="top"/>
              <w:rPr>
                <w:rStyle w:val="6"/>
                <w:rFonts w:hAnsi="Calibri" w:cs="Times New Roman"/>
                <w:sz w:val="21"/>
                <w:szCs w:val="21"/>
              </w:rPr>
            </w:pPr>
            <w:r>
              <w:rPr>
                <w:rStyle w:val="6"/>
                <w:rFonts w:hint="eastAsia"/>
                <w:sz w:val="21"/>
                <w:szCs w:val="21"/>
              </w:rPr>
              <w:t>1、查看温湿度控制设备（温度控制设备包括空调、暖气等，湿度控制设备包括加湿器、除湿机等），确认相关设备的运行状态、功能；</w:t>
            </w:r>
          </w:p>
          <w:p>
            <w:pPr>
              <w:widowControl/>
              <w:spacing w:line="300" w:lineRule="exact"/>
              <w:textAlignment w:val="top"/>
              <w:rPr>
                <w:rFonts w:ascii="宋体" w:hAnsi="宋体" w:cs="宋体"/>
                <w:color w:val="000000"/>
              </w:rPr>
            </w:pPr>
            <w:r>
              <w:rPr>
                <w:rStyle w:val="6"/>
                <w:sz w:val="21"/>
                <w:szCs w:val="21"/>
              </w:rPr>
              <w:t>2.</w:t>
            </w:r>
            <w:r>
              <w:rPr>
                <w:rStyle w:val="6"/>
                <w:rFonts w:hint="eastAsia"/>
                <w:sz w:val="21"/>
                <w:szCs w:val="21"/>
              </w:rPr>
              <w:t>查看库中测点终端（平面仓库面积在</w:t>
            </w:r>
            <w:r>
              <w:rPr>
                <w:rStyle w:val="6"/>
                <w:sz w:val="21"/>
                <w:szCs w:val="21"/>
              </w:rPr>
              <w:t>300</w:t>
            </w:r>
            <w:r>
              <w:rPr>
                <w:rStyle w:val="6"/>
                <w:rFonts w:hint="eastAsia"/>
                <w:sz w:val="21"/>
                <w:szCs w:val="21"/>
              </w:rPr>
              <w:t>㎡以内的配备2个，每增加</w:t>
            </w:r>
            <w:r>
              <w:rPr>
                <w:rStyle w:val="6"/>
                <w:sz w:val="21"/>
                <w:szCs w:val="21"/>
              </w:rPr>
              <w:t>300</w:t>
            </w:r>
            <w:r>
              <w:rPr>
                <w:rStyle w:val="6"/>
                <w:rFonts w:hint="eastAsia"/>
                <w:sz w:val="21"/>
                <w:szCs w:val="21"/>
              </w:rPr>
              <w:t>㎡加一个。高架仓库层高在</w:t>
            </w:r>
            <w:r>
              <w:rPr>
                <w:rStyle w:val="6"/>
                <w:sz w:val="21"/>
                <w:szCs w:val="21"/>
              </w:rPr>
              <w:t>4.5</w:t>
            </w:r>
            <w:r>
              <w:rPr>
                <w:rStyle w:val="6"/>
                <w:rFonts w:hint="eastAsia"/>
                <w:sz w:val="21"/>
                <w:szCs w:val="21"/>
              </w:rPr>
              <w:t>-</w:t>
            </w:r>
            <w:r>
              <w:rPr>
                <w:rStyle w:val="6"/>
                <w:sz w:val="21"/>
                <w:szCs w:val="21"/>
              </w:rPr>
              <w:t>8m</w:t>
            </w:r>
            <w:r>
              <w:rPr>
                <w:rStyle w:val="6"/>
                <w:rFonts w:hint="eastAsia"/>
                <w:sz w:val="21"/>
                <w:szCs w:val="21"/>
              </w:rPr>
              <w:t>间的每3</w:t>
            </w:r>
            <w:r>
              <w:rPr>
                <w:rStyle w:val="6"/>
                <w:sz w:val="21"/>
                <w:szCs w:val="21"/>
              </w:rPr>
              <w:t>00</w:t>
            </w:r>
            <w:r>
              <w:rPr>
                <w:rStyle w:val="6"/>
                <w:rFonts w:hint="eastAsia"/>
                <w:sz w:val="21"/>
                <w:szCs w:val="21"/>
              </w:rPr>
              <w:t>㎡至少安装4个测点终端，每增加300㎡至少增加2个测点终端，并均匀分布在货架上、下位置；货架层高在8</w:t>
            </w:r>
            <w:r>
              <w:rPr>
                <w:rStyle w:val="6"/>
                <w:sz w:val="21"/>
                <w:szCs w:val="21"/>
              </w:rPr>
              <w:t>m</w:t>
            </w:r>
            <w:r>
              <w:rPr>
                <w:rStyle w:val="6"/>
                <w:rFonts w:hint="eastAsia"/>
                <w:sz w:val="21"/>
                <w:szCs w:val="21"/>
              </w:rPr>
              <w:t>以上的，每300㎡面积至少安装6个测点终端，每增加300㎡至少增加3个测点终端，并均匀分布在货架的上、中、下位置；不足300㎡的按300㎡计算。冷藏库和冷冻库测点终端的安装数量，需符合上述各项要求，其安装数量按每</w:t>
            </w:r>
            <w:r>
              <w:rPr>
                <w:rStyle w:val="6"/>
                <w:sz w:val="21"/>
                <w:szCs w:val="21"/>
              </w:rPr>
              <w:t>100</w:t>
            </w:r>
            <w:r>
              <w:rPr>
                <w:rStyle w:val="6"/>
                <w:rFonts w:hint="eastAsia"/>
                <w:sz w:val="21"/>
                <w:szCs w:val="21"/>
              </w:rPr>
              <w:t>㎡计算）及物流作业视频监控设备（应覆盖物流作业全流程），确认相关设备的运行状态、功能。</w:t>
            </w:r>
          </w:p>
        </w:tc>
        <w:tc>
          <w:tcPr>
            <w:tcW w:w="584" w:type="pct"/>
            <w:noWrap w:val="0"/>
            <w:vAlign w:val="center"/>
          </w:tcPr>
          <w:p>
            <w:pPr>
              <w:widowControl/>
              <w:spacing w:line="300" w:lineRule="exact"/>
              <w:textAlignment w:val="top"/>
              <w:rPr>
                <w:rStyle w:val="5"/>
                <w:rFonts w:hAnsi="Calibri"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int="eastAsia"/>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327" w:type="pct"/>
            <w:noWrap w:val="0"/>
            <w:vAlign w:val="center"/>
          </w:tcPr>
          <w:p>
            <w:pPr>
              <w:spacing w:line="300" w:lineRule="exact"/>
              <w:jc w:val="center"/>
              <w:rPr>
                <w:rFonts w:hint="eastAsia" w:ascii="宋体" w:hAnsi="宋体" w:cs="宋体"/>
                <w:color w:val="000000"/>
              </w:rPr>
            </w:pPr>
            <w:r>
              <w:rPr>
                <w:rFonts w:hint="eastAsia" w:ascii="宋体" w:hAnsi="宋体" w:cs="宋体"/>
                <w:color w:val="000000"/>
              </w:rPr>
              <w:t>*4.8</w:t>
            </w:r>
          </w:p>
        </w:tc>
        <w:tc>
          <w:tcPr>
            <w:tcW w:w="1962" w:type="pct"/>
            <w:noWrap w:val="0"/>
            <w:vAlign w:val="center"/>
          </w:tcPr>
          <w:p>
            <w:pPr>
              <w:widowControl/>
              <w:spacing w:line="300" w:lineRule="exact"/>
              <w:textAlignment w:val="top"/>
              <w:rPr>
                <w:rFonts w:hint="eastAsia" w:ascii="宋体" w:hAnsi="宋体" w:cs="宋体"/>
                <w:color w:val="000000"/>
              </w:rPr>
            </w:pPr>
            <w:r>
              <w:rPr>
                <w:rStyle w:val="6"/>
                <w:rFonts w:hint="eastAsia"/>
                <w:sz w:val="21"/>
                <w:szCs w:val="21"/>
              </w:rPr>
              <w:t>企业应配备与第三方物流经营范围和业务规模相适应的运输车辆及设备。可实现对车辆运输监控。企业配备的常温运输车、冷藏车、冷藏箱（保温箱）数量应与企业的运输业务规模相适应。冷藏车、冷藏箱（保温箱）应配备温度监测设备，实时采集、记录运输医疗器械在途温度数据。</w:t>
            </w:r>
          </w:p>
        </w:tc>
        <w:tc>
          <w:tcPr>
            <w:tcW w:w="2127" w:type="pct"/>
            <w:noWrap w:val="0"/>
            <w:vAlign w:val="center"/>
          </w:tcPr>
          <w:p>
            <w:pPr>
              <w:widowControl/>
              <w:spacing w:line="300" w:lineRule="exact"/>
              <w:textAlignment w:val="top"/>
              <w:rPr>
                <w:rStyle w:val="6"/>
                <w:rFonts w:hAnsi="Calibri" w:cs="Times New Roman"/>
                <w:strike/>
                <w:sz w:val="21"/>
                <w:szCs w:val="21"/>
              </w:rPr>
            </w:pPr>
          </w:p>
          <w:p>
            <w:pPr>
              <w:widowControl/>
              <w:spacing w:line="300" w:lineRule="exact"/>
              <w:textAlignment w:val="top"/>
              <w:rPr>
                <w:rStyle w:val="6"/>
                <w:rFonts w:hAnsi="Calibri" w:cs="Times New Roman"/>
                <w:sz w:val="21"/>
                <w:szCs w:val="21"/>
              </w:rPr>
            </w:pPr>
            <w:r>
              <w:rPr>
                <w:rStyle w:val="6"/>
                <w:sz w:val="21"/>
                <w:szCs w:val="21"/>
              </w:rPr>
              <w:t>1.</w:t>
            </w:r>
            <w:r>
              <w:rPr>
                <w:rStyle w:val="6"/>
                <w:rFonts w:hint="eastAsia"/>
                <w:sz w:val="21"/>
                <w:szCs w:val="21"/>
              </w:rPr>
              <w:t>根据企业储运规模，核实常温、冷藏运输车辆及冷藏箱（保温箱）配备情况，并确认运行状态、功能；</w:t>
            </w:r>
          </w:p>
          <w:p>
            <w:pPr>
              <w:widowControl/>
              <w:spacing w:line="300" w:lineRule="exact"/>
              <w:textAlignment w:val="top"/>
              <w:rPr>
                <w:rStyle w:val="6"/>
                <w:sz w:val="21"/>
                <w:szCs w:val="21"/>
              </w:rPr>
            </w:pPr>
            <w:r>
              <w:rPr>
                <w:rStyle w:val="6"/>
                <w:sz w:val="21"/>
                <w:szCs w:val="21"/>
              </w:rPr>
              <w:t>2.</w:t>
            </w:r>
            <w:r>
              <w:rPr>
                <w:rStyle w:val="6"/>
                <w:rFonts w:hint="eastAsia"/>
                <w:sz w:val="21"/>
                <w:szCs w:val="21"/>
              </w:rPr>
              <w:t>现场核实车辆卫星定位系统配备情况；</w:t>
            </w:r>
          </w:p>
          <w:p>
            <w:pPr>
              <w:widowControl/>
              <w:spacing w:line="300" w:lineRule="exact"/>
              <w:textAlignment w:val="top"/>
              <w:rPr>
                <w:rStyle w:val="6"/>
                <w:rFonts w:hint="eastAsia" w:hAnsi="Calibri" w:cs="Times New Roman"/>
                <w:sz w:val="21"/>
                <w:szCs w:val="21"/>
              </w:rPr>
            </w:pPr>
            <w:r>
              <w:rPr>
                <w:rStyle w:val="6"/>
                <w:rFonts w:hint="eastAsia"/>
                <w:sz w:val="21"/>
                <w:szCs w:val="21"/>
              </w:rPr>
              <w:t>3.委托其他承运单位运输医疗器械的可不配备运输车辆。</w:t>
            </w:r>
          </w:p>
          <w:p>
            <w:pPr>
              <w:widowControl/>
              <w:spacing w:line="300" w:lineRule="exact"/>
              <w:textAlignment w:val="top"/>
              <w:rPr>
                <w:rFonts w:ascii="宋体" w:hAnsi="宋体" w:cs="宋体"/>
                <w:color w:val="000000"/>
              </w:rPr>
            </w:pPr>
          </w:p>
        </w:tc>
        <w:tc>
          <w:tcPr>
            <w:tcW w:w="584" w:type="pct"/>
            <w:noWrap w:val="0"/>
            <w:vAlign w:val="center"/>
          </w:tcPr>
          <w:p>
            <w:pPr>
              <w:widowControl/>
              <w:spacing w:line="300" w:lineRule="exact"/>
              <w:textAlignment w:val="top"/>
              <w:rPr>
                <w:rStyle w:val="5"/>
                <w:rFonts w:hAnsi="Calibri"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int="eastAsia"/>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327" w:type="pct"/>
            <w:noWrap w:val="0"/>
            <w:vAlign w:val="center"/>
          </w:tcPr>
          <w:p>
            <w:pPr>
              <w:spacing w:line="300" w:lineRule="exact"/>
              <w:jc w:val="center"/>
              <w:rPr>
                <w:rFonts w:hint="eastAsia" w:ascii="宋体" w:hAnsi="宋体" w:cs="宋体"/>
                <w:color w:val="000000"/>
              </w:rPr>
            </w:pPr>
            <w:r>
              <w:rPr>
                <w:rFonts w:hint="eastAsia" w:ascii="宋体" w:hAnsi="宋体" w:cs="宋体"/>
                <w:color w:val="000000"/>
              </w:rPr>
              <w:t>*4.9</w:t>
            </w:r>
          </w:p>
        </w:tc>
        <w:tc>
          <w:tcPr>
            <w:tcW w:w="1962" w:type="pct"/>
            <w:noWrap w:val="0"/>
            <w:vAlign w:val="center"/>
          </w:tcPr>
          <w:p>
            <w:pPr>
              <w:widowControl/>
              <w:spacing w:line="300" w:lineRule="exact"/>
              <w:textAlignment w:val="top"/>
              <w:rPr>
                <w:rFonts w:ascii="宋体" w:hAnsi="宋体" w:cs="宋体"/>
                <w:color w:val="000000"/>
                <w:kern w:val="0"/>
              </w:rPr>
            </w:pPr>
            <w:r>
              <w:rPr>
                <w:rFonts w:hint="eastAsia" w:ascii="宋体" w:hAnsi="宋体" w:cs="宋体"/>
                <w:color w:val="000000"/>
                <w:kern w:val="0"/>
              </w:rPr>
              <w:t>企业应实现集中监控功能，包括：库房温湿度监测、一般仓储作业区视频监控以及异常状况报警的功能。设立分库的，应能对分库的上述功能实现远程监测。</w:t>
            </w:r>
          </w:p>
          <w:p>
            <w:pPr>
              <w:widowControl/>
              <w:spacing w:line="300" w:lineRule="exact"/>
              <w:textAlignment w:val="top"/>
              <w:rPr>
                <w:rFonts w:hint="eastAsia" w:ascii="宋体" w:hAnsi="宋体" w:cs="宋体"/>
                <w:color w:val="000000"/>
              </w:rPr>
            </w:pPr>
            <w:r>
              <w:rPr>
                <w:rFonts w:hint="eastAsia" w:ascii="宋体" w:hAnsi="宋体" w:cs="宋体"/>
                <w:color w:val="000000"/>
                <w:kern w:val="0"/>
              </w:rPr>
              <w:t>库区应至少每隔</w:t>
            </w:r>
            <w:r>
              <w:rPr>
                <w:rFonts w:ascii="宋体" w:hAnsi="宋体" w:cs="宋体"/>
                <w:color w:val="000000"/>
                <w:kern w:val="0"/>
              </w:rPr>
              <w:t>30</w:t>
            </w:r>
            <w:r>
              <w:rPr>
                <w:rFonts w:hint="eastAsia" w:ascii="宋体" w:hAnsi="宋体" w:cs="宋体"/>
                <w:color w:val="000000"/>
                <w:kern w:val="0"/>
              </w:rPr>
              <w:t>分钟自动记录一次实时温湿度数据；冷藏库、冷冻库、冷藏车应至少每隔5分钟自动记录一次实时温湿度数据；当监测的温湿度值超出规定范围时，应当至少每隔5分钟记录一次实时温湿度数据。</w:t>
            </w:r>
          </w:p>
        </w:tc>
        <w:tc>
          <w:tcPr>
            <w:tcW w:w="2127" w:type="pct"/>
            <w:noWrap w:val="0"/>
            <w:vAlign w:val="center"/>
          </w:tcPr>
          <w:p>
            <w:pPr>
              <w:widowControl/>
              <w:spacing w:line="300" w:lineRule="exact"/>
              <w:textAlignment w:val="top"/>
              <w:rPr>
                <w:rStyle w:val="6"/>
                <w:sz w:val="21"/>
                <w:szCs w:val="21"/>
              </w:rPr>
            </w:pPr>
            <w:r>
              <w:rPr>
                <w:rStyle w:val="6"/>
                <w:sz w:val="21"/>
                <w:szCs w:val="21"/>
              </w:rPr>
              <w:t>1.</w:t>
            </w:r>
            <w:r>
              <w:rPr>
                <w:rStyle w:val="6"/>
                <w:rFonts w:hint="eastAsia"/>
                <w:sz w:val="21"/>
                <w:szCs w:val="21"/>
              </w:rPr>
              <w:t>查看企业是否具备</w:t>
            </w:r>
            <w:r>
              <w:rPr>
                <w:rFonts w:hint="eastAsia" w:ascii="宋体" w:hAnsi="宋体" w:cs="宋体"/>
                <w:color w:val="000000"/>
                <w:kern w:val="0"/>
              </w:rPr>
              <w:t>集中监控功能</w:t>
            </w:r>
            <w:r>
              <w:rPr>
                <w:rStyle w:val="6"/>
                <w:rFonts w:hint="eastAsia"/>
                <w:sz w:val="21"/>
                <w:szCs w:val="21"/>
              </w:rPr>
              <w:t>；</w:t>
            </w:r>
            <w:r>
              <w:rPr>
                <w:rStyle w:val="6"/>
                <w:sz w:val="21"/>
                <w:szCs w:val="21"/>
              </w:rPr>
              <w:t xml:space="preserve"> </w:t>
            </w:r>
          </w:p>
          <w:p>
            <w:pPr>
              <w:widowControl/>
              <w:spacing w:line="300" w:lineRule="exact"/>
              <w:textAlignment w:val="top"/>
              <w:rPr>
                <w:rStyle w:val="6"/>
                <w:rFonts w:hAnsi="Calibri" w:cs="Times New Roman"/>
                <w:sz w:val="21"/>
                <w:szCs w:val="21"/>
              </w:rPr>
            </w:pPr>
            <w:r>
              <w:rPr>
                <w:rStyle w:val="6"/>
                <w:rFonts w:hint="eastAsia"/>
                <w:sz w:val="21"/>
                <w:szCs w:val="21"/>
              </w:rPr>
              <w:t>2.查看库区（含阴凉库、冷藏库、冷冻库）、冷藏车等温湿度数据记录情况；</w:t>
            </w:r>
          </w:p>
          <w:p>
            <w:pPr>
              <w:widowControl/>
              <w:spacing w:line="300" w:lineRule="exact"/>
              <w:textAlignment w:val="top"/>
              <w:rPr>
                <w:rFonts w:ascii="宋体" w:hAnsi="宋体" w:cs="宋体"/>
                <w:color w:val="000000"/>
              </w:rPr>
            </w:pPr>
            <w:r>
              <w:rPr>
                <w:rStyle w:val="6"/>
                <w:rFonts w:hint="eastAsia"/>
                <w:sz w:val="21"/>
                <w:szCs w:val="21"/>
              </w:rPr>
              <w:t>3.通过现场演示，确认监控系统报警功能（包括温湿度超标报警、断电报警等），</w:t>
            </w:r>
            <w:r>
              <w:rPr>
                <w:rFonts w:hint="eastAsia" w:ascii="宋体" w:hAnsi="宋体" w:cs="宋体"/>
                <w:color w:val="000000"/>
                <w:kern w:val="0"/>
              </w:rPr>
              <w:t>报警需采用声音、信息等易察觉方式。</w:t>
            </w:r>
          </w:p>
        </w:tc>
        <w:tc>
          <w:tcPr>
            <w:tcW w:w="584" w:type="pct"/>
            <w:noWrap w:val="0"/>
            <w:vAlign w:val="center"/>
          </w:tcPr>
          <w:p>
            <w:pPr>
              <w:widowControl/>
              <w:spacing w:line="300" w:lineRule="exact"/>
              <w:textAlignment w:val="top"/>
              <w:rPr>
                <w:rStyle w:val="5"/>
                <w:rFonts w:hAnsi="Calibri"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int="eastAsia"/>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327" w:type="pct"/>
            <w:noWrap w:val="0"/>
            <w:vAlign w:val="center"/>
          </w:tcPr>
          <w:p>
            <w:pPr>
              <w:spacing w:line="300" w:lineRule="exact"/>
              <w:jc w:val="center"/>
              <w:rPr>
                <w:rFonts w:ascii="宋体" w:hAnsi="宋体" w:cs="Times New Roman"/>
                <w:color w:val="000000"/>
              </w:rPr>
            </w:pPr>
            <w:r>
              <w:rPr>
                <w:rFonts w:ascii="宋体" w:hAnsi="宋体" w:cs="宋体"/>
                <w:color w:val="000000"/>
              </w:rPr>
              <w:t>*</w:t>
            </w:r>
            <w:r>
              <w:rPr>
                <w:rFonts w:hint="eastAsia" w:ascii="宋体" w:hAnsi="宋体" w:cs="宋体"/>
                <w:color w:val="000000"/>
              </w:rPr>
              <w:t>5</w:t>
            </w:r>
            <w:r>
              <w:rPr>
                <w:rFonts w:ascii="宋体" w:hAnsi="宋体" w:cs="宋体"/>
                <w:color w:val="000000"/>
              </w:rPr>
              <w:t>.1</w:t>
            </w:r>
          </w:p>
        </w:tc>
        <w:tc>
          <w:tcPr>
            <w:tcW w:w="1962" w:type="pct"/>
            <w:noWrap w:val="0"/>
            <w:vAlign w:val="center"/>
          </w:tcPr>
          <w:p>
            <w:pPr>
              <w:spacing w:line="300" w:lineRule="exact"/>
              <w:rPr>
                <w:rFonts w:ascii="宋体" w:hAnsi="宋体" w:cs="Times New Roman"/>
                <w:color w:val="000000"/>
              </w:rPr>
            </w:pPr>
            <w:r>
              <w:rPr>
                <w:rFonts w:hint="eastAsia" w:ascii="宋体" w:hAnsi="宋体" w:cs="宋体"/>
                <w:color w:val="000000"/>
              </w:rPr>
              <w:t>企业应建立与第三方物流业务质量管理相匹配的医疗器械信息化物流综合管理系统，包括仓库管理系统、库区温湿度监测系统和运输管理系统，提供冷藏、冷冻医疗器械运输的，还应建立冷链运输追溯系统。</w:t>
            </w:r>
          </w:p>
        </w:tc>
        <w:tc>
          <w:tcPr>
            <w:tcW w:w="2127" w:type="pct"/>
            <w:noWrap w:val="0"/>
            <w:vAlign w:val="center"/>
          </w:tcPr>
          <w:p>
            <w:pPr>
              <w:widowControl/>
              <w:spacing w:line="300" w:lineRule="exact"/>
              <w:jc w:val="left"/>
              <w:textAlignment w:val="top"/>
              <w:rPr>
                <w:rFonts w:hint="eastAsia" w:ascii="宋体" w:hAnsi="宋体" w:cs="Times New Roman"/>
                <w:color w:val="000000"/>
              </w:rPr>
            </w:pPr>
            <w:r>
              <w:rPr>
                <w:rFonts w:ascii="宋体" w:hAnsi="宋体" w:cs="宋体"/>
                <w:color w:val="000000"/>
              </w:rPr>
              <w:t>1.</w:t>
            </w:r>
            <w:r>
              <w:rPr>
                <w:rFonts w:hint="eastAsia" w:ascii="宋体" w:hAnsi="宋体" w:cs="宋体"/>
                <w:color w:val="000000"/>
              </w:rPr>
              <w:t>查看系统配置情况。</w:t>
            </w:r>
          </w:p>
        </w:tc>
        <w:tc>
          <w:tcPr>
            <w:tcW w:w="584" w:type="pc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327" w:type="pct"/>
            <w:noWrap w:val="0"/>
            <w:vAlign w:val="center"/>
          </w:tcPr>
          <w:p>
            <w:pPr>
              <w:spacing w:line="300" w:lineRule="exact"/>
              <w:jc w:val="center"/>
              <w:rPr>
                <w:rFonts w:ascii="宋体" w:hAnsi="宋体" w:cs="宋体"/>
                <w:color w:val="000000"/>
              </w:rPr>
            </w:pPr>
            <w:r>
              <w:rPr>
                <w:rFonts w:ascii="宋体" w:hAnsi="宋体" w:cs="宋体"/>
                <w:color w:val="000000"/>
              </w:rPr>
              <w:t>*</w:t>
            </w:r>
            <w:r>
              <w:rPr>
                <w:rFonts w:hint="eastAsia" w:ascii="宋体" w:hAnsi="宋体" w:cs="宋体"/>
                <w:color w:val="000000"/>
              </w:rPr>
              <w:t>5.2</w:t>
            </w:r>
          </w:p>
        </w:tc>
        <w:tc>
          <w:tcPr>
            <w:tcW w:w="1962" w:type="pct"/>
            <w:noWrap w:val="0"/>
            <w:vAlign w:val="center"/>
          </w:tcPr>
          <w:p>
            <w:pPr>
              <w:spacing w:line="300" w:lineRule="exact"/>
              <w:rPr>
                <w:rFonts w:hint="eastAsia" w:ascii="宋体" w:hAnsi="宋体" w:cs="宋体"/>
                <w:color w:val="000000"/>
              </w:rPr>
            </w:pPr>
            <w:r>
              <w:rPr>
                <w:rFonts w:hint="eastAsia" w:ascii="宋体" w:hAnsi="宋体" w:cs="宋体"/>
                <w:color w:val="000000"/>
              </w:rPr>
              <w:t>医疗器械信息化物流综合管理系统应实现内部子系统间的数据</w:t>
            </w:r>
            <w:r>
              <w:rPr>
                <w:rFonts w:hint="eastAsia" w:ascii="宋体" w:hAnsi="宋体"/>
                <w:color w:val="000000"/>
              </w:rPr>
              <w:t>实时进行数据交互</w:t>
            </w:r>
            <w:r>
              <w:rPr>
                <w:rFonts w:hint="eastAsia" w:ascii="宋体" w:hAnsi="宋体" w:cs="宋体"/>
                <w:color w:val="000000"/>
              </w:rPr>
              <w:t>。</w:t>
            </w:r>
          </w:p>
        </w:tc>
        <w:tc>
          <w:tcPr>
            <w:tcW w:w="2127" w:type="pct"/>
            <w:noWrap w:val="0"/>
            <w:vAlign w:val="center"/>
          </w:tcPr>
          <w:p>
            <w:pPr>
              <w:widowControl/>
              <w:spacing w:line="300" w:lineRule="exact"/>
              <w:jc w:val="left"/>
              <w:textAlignment w:val="top"/>
              <w:rPr>
                <w:rFonts w:ascii="宋体" w:hAnsi="宋体" w:cs="宋体"/>
                <w:color w:val="000000"/>
              </w:rPr>
            </w:pPr>
            <w:r>
              <w:rPr>
                <w:rFonts w:hint="eastAsia" w:ascii="宋体" w:hAnsi="宋体" w:cs="宋体"/>
                <w:color w:val="000000"/>
              </w:rPr>
              <w:t>1.查看系统对接情况，数据传输情况。</w:t>
            </w:r>
          </w:p>
        </w:tc>
        <w:tc>
          <w:tcPr>
            <w:tcW w:w="584" w:type="pc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int="eastAsia"/>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jc w:val="center"/>
        </w:trPr>
        <w:tc>
          <w:tcPr>
            <w:tcW w:w="327" w:type="pct"/>
            <w:noWrap w:val="0"/>
            <w:vAlign w:val="center"/>
          </w:tcPr>
          <w:p>
            <w:pPr>
              <w:spacing w:line="300" w:lineRule="exact"/>
              <w:jc w:val="center"/>
              <w:rPr>
                <w:rFonts w:ascii="宋体" w:hAnsi="宋体" w:cs="Times New Roman"/>
                <w:color w:val="000000"/>
              </w:rPr>
            </w:pPr>
            <w:r>
              <w:rPr>
                <w:rFonts w:ascii="宋体" w:hAnsi="宋体" w:cs="宋体"/>
                <w:color w:val="000000"/>
              </w:rPr>
              <w:t>*</w:t>
            </w:r>
            <w:r>
              <w:rPr>
                <w:rFonts w:hint="eastAsia" w:ascii="宋体" w:hAnsi="宋体" w:cs="宋体"/>
                <w:color w:val="000000"/>
              </w:rPr>
              <w:t>5</w:t>
            </w:r>
            <w:r>
              <w:rPr>
                <w:rFonts w:ascii="宋体" w:hAnsi="宋体" w:cs="宋体"/>
                <w:color w:val="000000"/>
              </w:rPr>
              <w:t>.</w:t>
            </w:r>
            <w:r>
              <w:rPr>
                <w:rFonts w:hint="eastAsia" w:ascii="宋体" w:hAnsi="宋体" w:cs="宋体"/>
                <w:color w:val="000000"/>
              </w:rPr>
              <w:t>3</w:t>
            </w:r>
          </w:p>
        </w:tc>
        <w:tc>
          <w:tcPr>
            <w:tcW w:w="1962" w:type="pct"/>
            <w:noWrap w:val="0"/>
            <w:vAlign w:val="center"/>
          </w:tcPr>
          <w:p>
            <w:pPr>
              <w:spacing w:line="300" w:lineRule="exact"/>
              <w:rPr>
                <w:rFonts w:ascii="宋体" w:hAnsi="宋体" w:cs="Times New Roman"/>
                <w:color w:val="000000"/>
              </w:rPr>
            </w:pPr>
            <w:r>
              <w:rPr>
                <w:rFonts w:hint="eastAsia" w:ascii="宋体" w:hAnsi="宋体" w:cs="宋体"/>
                <w:color w:val="000000"/>
              </w:rPr>
              <w:t>医疗器械信息化物流综合管理系统应实现医疗器械第三方物流的全环节质量管理和控制，对相关数据可进行收集、记录、查询。数据采集应完整、及时、准确，并可制作相关统计报表。</w:t>
            </w:r>
          </w:p>
        </w:tc>
        <w:tc>
          <w:tcPr>
            <w:tcW w:w="2127" w:type="pct"/>
            <w:noWrap w:val="0"/>
            <w:vAlign w:val="center"/>
          </w:tcPr>
          <w:p>
            <w:pPr>
              <w:widowControl/>
              <w:spacing w:line="300" w:lineRule="exact"/>
              <w:jc w:val="left"/>
              <w:textAlignment w:val="top"/>
              <w:rPr>
                <w:rFonts w:ascii="宋体" w:hAnsi="宋体" w:cs="宋体"/>
                <w:color w:val="000000"/>
              </w:rPr>
            </w:pPr>
            <w:r>
              <w:rPr>
                <w:rFonts w:ascii="宋体" w:hAnsi="宋体" w:cs="宋体"/>
                <w:color w:val="000000"/>
              </w:rPr>
              <w:t>1.</w:t>
            </w:r>
            <w:r>
              <w:rPr>
                <w:rFonts w:hint="eastAsia" w:ascii="宋体" w:hAnsi="宋体" w:cs="宋体"/>
                <w:color w:val="000000"/>
              </w:rPr>
              <w:t>查看系统记录</w:t>
            </w:r>
            <w:r>
              <w:rPr>
                <w:rFonts w:ascii="宋体" w:hAnsi="宋体" w:cs="宋体"/>
                <w:color w:val="000000"/>
              </w:rPr>
              <w:t>,</w:t>
            </w:r>
            <w:r>
              <w:rPr>
                <w:rFonts w:hint="eastAsia" w:ascii="宋体" w:hAnsi="宋体" w:cs="宋体"/>
                <w:color w:val="000000"/>
              </w:rPr>
              <w:t>确认相关内容（包括委托企业审核记录、委托品种审核记录、收货记录、查验记录、入库记录、检查记录、出库复核记录、运输记录等内容）；</w:t>
            </w:r>
            <w:r>
              <w:rPr>
                <w:rFonts w:ascii="宋体" w:hAnsi="宋体" w:cs="宋体"/>
                <w:color w:val="000000"/>
              </w:rPr>
              <w:t xml:space="preserve"> </w:t>
            </w:r>
          </w:p>
          <w:p>
            <w:pPr>
              <w:spacing w:line="300" w:lineRule="exact"/>
              <w:jc w:val="left"/>
              <w:textAlignment w:val="top"/>
              <w:rPr>
                <w:rFonts w:hint="eastAsia" w:ascii="宋体" w:hAnsi="宋体" w:cs="宋体"/>
                <w:color w:val="000000"/>
              </w:rPr>
            </w:pPr>
            <w:r>
              <w:rPr>
                <w:rFonts w:ascii="宋体" w:hAnsi="宋体" w:cs="宋体"/>
                <w:color w:val="000000"/>
              </w:rPr>
              <w:t>2.</w:t>
            </w:r>
            <w:r>
              <w:rPr>
                <w:rFonts w:hint="eastAsia" w:ascii="宋体" w:hAnsi="宋体" w:cs="宋体"/>
                <w:color w:val="000000"/>
              </w:rPr>
              <w:t>通过系统演示，确认系统功能（查询和统计）</w:t>
            </w:r>
          </w:p>
        </w:tc>
        <w:tc>
          <w:tcPr>
            <w:tcW w:w="584" w:type="pc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327" w:type="pct"/>
            <w:noWrap w:val="0"/>
            <w:vAlign w:val="center"/>
          </w:tcPr>
          <w:p>
            <w:pPr>
              <w:spacing w:line="300" w:lineRule="exact"/>
              <w:textAlignment w:val="top"/>
              <w:rPr>
                <w:rFonts w:hint="eastAsia" w:ascii="宋体" w:hAnsi="宋体" w:cs="宋体"/>
                <w:color w:val="000000"/>
              </w:rPr>
            </w:pPr>
            <w:r>
              <w:rPr>
                <w:rFonts w:hint="eastAsia" w:ascii="宋体" w:hAnsi="宋体" w:cs="宋体"/>
                <w:color w:val="000000"/>
              </w:rPr>
              <w:t>*5.4</w:t>
            </w:r>
          </w:p>
        </w:tc>
        <w:tc>
          <w:tcPr>
            <w:tcW w:w="1962" w:type="pct"/>
            <w:noWrap w:val="0"/>
            <w:vAlign w:val="center"/>
          </w:tcPr>
          <w:p>
            <w:pPr>
              <w:spacing w:line="300" w:lineRule="exact"/>
              <w:textAlignment w:val="top"/>
              <w:rPr>
                <w:rFonts w:hint="eastAsia" w:ascii="宋体" w:hAnsi="宋体" w:cs="宋体"/>
                <w:color w:val="000000"/>
              </w:rPr>
            </w:pPr>
            <w:r>
              <w:rPr>
                <w:rFonts w:hint="eastAsia" w:ascii="宋体" w:hAnsi="宋体" w:cs="宋体"/>
                <w:color w:val="000000"/>
              </w:rPr>
              <w:t>应当具有与委托方实时同步电子数据的功能，可实现贮存、运输全过程的追溯管理。</w:t>
            </w:r>
          </w:p>
        </w:tc>
        <w:tc>
          <w:tcPr>
            <w:tcW w:w="2127" w:type="pct"/>
            <w:noWrap w:val="0"/>
            <w:vAlign w:val="center"/>
          </w:tcPr>
          <w:p>
            <w:pPr>
              <w:spacing w:line="300" w:lineRule="exact"/>
              <w:jc w:val="left"/>
              <w:textAlignment w:val="top"/>
              <w:rPr>
                <w:rFonts w:ascii="宋体" w:hAnsi="宋体" w:cs="宋体"/>
                <w:color w:val="000000"/>
              </w:rPr>
            </w:pPr>
            <w:r>
              <w:rPr>
                <w:rFonts w:hint="eastAsia" w:ascii="宋体" w:hAnsi="宋体" w:cs="宋体"/>
                <w:color w:val="000000"/>
              </w:rPr>
              <w:t>1.查看双方电子数据同步情况。</w:t>
            </w:r>
          </w:p>
        </w:tc>
        <w:tc>
          <w:tcPr>
            <w:tcW w:w="584" w:type="pct"/>
            <w:noWrap w:val="0"/>
            <w:vAlign w:val="center"/>
          </w:tcPr>
          <w:p>
            <w:pPr>
              <w:widowControl/>
              <w:spacing w:line="300" w:lineRule="exact"/>
              <w:textAlignment w:val="top"/>
              <w:rPr>
                <w:rStyle w:val="5"/>
                <w:rFonts w:hAnsi="Calibri"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int="eastAsia"/>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327" w:type="pct"/>
            <w:noWrap w:val="0"/>
            <w:vAlign w:val="center"/>
          </w:tcPr>
          <w:p>
            <w:pPr>
              <w:spacing w:line="300" w:lineRule="exact"/>
              <w:jc w:val="center"/>
              <w:textAlignment w:val="top"/>
              <w:rPr>
                <w:rFonts w:hint="eastAsia" w:ascii="宋体" w:hAnsi="宋体" w:cs="宋体"/>
                <w:color w:val="000000"/>
              </w:rPr>
            </w:pPr>
            <w:r>
              <w:rPr>
                <w:rFonts w:hint="eastAsia" w:ascii="宋体" w:hAnsi="宋体" w:cs="宋体"/>
                <w:color w:val="000000"/>
              </w:rPr>
              <w:t>*5</w:t>
            </w:r>
            <w:r>
              <w:rPr>
                <w:rFonts w:ascii="宋体" w:hAnsi="宋体" w:cs="宋体"/>
                <w:color w:val="000000"/>
              </w:rPr>
              <w:t>.</w:t>
            </w:r>
            <w:r>
              <w:rPr>
                <w:rFonts w:hint="eastAsia" w:ascii="宋体" w:hAnsi="宋体" w:cs="宋体"/>
                <w:color w:val="000000"/>
              </w:rPr>
              <w:t>5</w:t>
            </w:r>
          </w:p>
        </w:tc>
        <w:tc>
          <w:tcPr>
            <w:tcW w:w="1962" w:type="pct"/>
            <w:noWrap w:val="0"/>
            <w:vAlign w:val="center"/>
          </w:tcPr>
          <w:p>
            <w:pPr>
              <w:spacing w:line="300" w:lineRule="exact"/>
              <w:rPr>
                <w:rFonts w:hint="eastAsia" w:ascii="宋体" w:hAnsi="宋体" w:cs="宋体"/>
                <w:color w:val="000000"/>
              </w:rPr>
            </w:pPr>
            <w:r>
              <w:rPr>
                <w:rFonts w:hint="eastAsia" w:ascii="宋体" w:hAnsi="宋体" w:cs="宋体"/>
                <w:color w:val="000000"/>
              </w:rPr>
              <w:t>企业计算机信息化物流综合管理系统相关操作权限的建立与更改应当由质量负责人或其授权人批准后实施。</w:t>
            </w:r>
          </w:p>
        </w:tc>
        <w:tc>
          <w:tcPr>
            <w:tcW w:w="2127" w:type="pct"/>
            <w:noWrap w:val="0"/>
            <w:vAlign w:val="center"/>
          </w:tcPr>
          <w:p>
            <w:pPr>
              <w:widowControl/>
              <w:spacing w:line="300" w:lineRule="exact"/>
              <w:jc w:val="left"/>
              <w:textAlignment w:val="top"/>
              <w:rPr>
                <w:rFonts w:hint="eastAsia" w:ascii="宋体" w:hAnsi="宋体" w:cs="宋体"/>
                <w:color w:val="000000"/>
              </w:rPr>
            </w:pPr>
          </w:p>
          <w:p>
            <w:pPr>
              <w:widowControl/>
              <w:numPr>
                <w:ilvl w:val="0"/>
                <w:numId w:val="1"/>
              </w:numPr>
              <w:spacing w:line="300" w:lineRule="exact"/>
              <w:jc w:val="left"/>
              <w:textAlignment w:val="top"/>
              <w:rPr>
                <w:rFonts w:hint="eastAsia" w:ascii="宋体" w:hAnsi="宋体" w:cs="宋体"/>
                <w:color w:val="000000"/>
              </w:rPr>
            </w:pPr>
            <w:r>
              <w:rPr>
                <w:rFonts w:hint="eastAsia" w:ascii="宋体" w:hAnsi="宋体" w:cs="宋体"/>
                <w:color w:val="000000"/>
              </w:rPr>
              <w:t>通过系统演示，确认操作权限建立与更改须经批准后生效。</w:t>
            </w:r>
          </w:p>
          <w:p>
            <w:pPr>
              <w:widowControl/>
              <w:spacing w:line="300" w:lineRule="exact"/>
              <w:jc w:val="left"/>
              <w:textAlignment w:val="top"/>
              <w:rPr>
                <w:rFonts w:ascii="宋体" w:hAnsi="宋体" w:cs="Times New Roman"/>
                <w:color w:val="000000"/>
              </w:rPr>
            </w:pPr>
          </w:p>
        </w:tc>
        <w:tc>
          <w:tcPr>
            <w:tcW w:w="584" w:type="pc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jc w:val="center"/>
        </w:trPr>
        <w:tc>
          <w:tcPr>
            <w:tcW w:w="327" w:type="pct"/>
            <w:noWrap w:val="0"/>
            <w:vAlign w:val="center"/>
          </w:tcPr>
          <w:p>
            <w:pPr>
              <w:spacing w:line="300" w:lineRule="exact"/>
              <w:textAlignment w:val="top"/>
              <w:rPr>
                <w:rFonts w:hint="eastAsia" w:ascii="宋体" w:hAnsi="宋体" w:cs="宋体"/>
                <w:color w:val="000000"/>
              </w:rPr>
            </w:pPr>
            <w:r>
              <w:rPr>
                <w:rFonts w:hint="eastAsia" w:ascii="宋体" w:hAnsi="宋体" w:cs="宋体"/>
                <w:color w:val="000000"/>
              </w:rPr>
              <w:t>*5.6</w:t>
            </w:r>
          </w:p>
        </w:tc>
        <w:tc>
          <w:tcPr>
            <w:tcW w:w="1962" w:type="pct"/>
            <w:noWrap w:val="0"/>
            <w:vAlign w:val="center"/>
          </w:tcPr>
          <w:p>
            <w:pPr>
              <w:spacing w:line="300" w:lineRule="exact"/>
              <w:textAlignment w:val="top"/>
              <w:rPr>
                <w:rFonts w:hint="eastAsia" w:ascii="宋体" w:hAnsi="宋体" w:cs="宋体"/>
                <w:color w:val="000000"/>
                <w:kern w:val="0"/>
              </w:rPr>
            </w:pPr>
            <w:r>
              <w:rPr>
                <w:rFonts w:hint="eastAsia" w:ascii="宋体" w:hAnsi="宋体" w:cs="宋体"/>
                <w:color w:val="000000"/>
              </w:rPr>
              <w:t>企业应当制定有效措施，确保计算机信息系统的数据准确、真实、安全，不得随意篡改；需要数据更改时应当由质量负责人或其授权人审核批准，并留存更改及审核批准记录。未经授权不能更改任何数据。</w:t>
            </w:r>
          </w:p>
        </w:tc>
        <w:tc>
          <w:tcPr>
            <w:tcW w:w="2127" w:type="pct"/>
            <w:noWrap w:val="0"/>
            <w:vAlign w:val="center"/>
          </w:tcPr>
          <w:p>
            <w:pPr>
              <w:numPr>
                <w:ilvl w:val="0"/>
                <w:numId w:val="2"/>
              </w:numPr>
              <w:spacing w:line="300" w:lineRule="exact"/>
              <w:jc w:val="left"/>
              <w:textAlignment w:val="top"/>
              <w:rPr>
                <w:rFonts w:hint="eastAsia" w:ascii="宋体" w:hAnsi="宋体" w:cs="宋体"/>
                <w:color w:val="000000"/>
              </w:rPr>
            </w:pPr>
            <w:r>
              <w:rPr>
                <w:rFonts w:hint="eastAsia" w:ascii="宋体" w:hAnsi="宋体" w:cs="宋体"/>
                <w:color w:val="000000"/>
              </w:rPr>
              <w:t>确认修改数据是否需经授权；</w:t>
            </w:r>
          </w:p>
          <w:p>
            <w:pPr>
              <w:numPr>
                <w:ilvl w:val="0"/>
                <w:numId w:val="2"/>
              </w:numPr>
              <w:spacing w:line="300" w:lineRule="exact"/>
              <w:jc w:val="left"/>
              <w:textAlignment w:val="top"/>
              <w:rPr>
                <w:rFonts w:hint="eastAsia" w:ascii="宋体" w:hAnsi="宋体" w:cs="宋体"/>
                <w:color w:val="000000"/>
              </w:rPr>
            </w:pPr>
            <w:r>
              <w:rPr>
                <w:rFonts w:hint="eastAsia" w:ascii="宋体" w:hAnsi="宋体" w:cs="宋体"/>
                <w:color w:val="000000"/>
              </w:rPr>
              <w:t>查看更改及审核批准记录。</w:t>
            </w:r>
          </w:p>
        </w:tc>
        <w:tc>
          <w:tcPr>
            <w:tcW w:w="584" w:type="pct"/>
            <w:noWrap w:val="0"/>
            <w:vAlign w:val="center"/>
          </w:tcPr>
          <w:p>
            <w:pPr>
              <w:widowControl/>
              <w:spacing w:line="300" w:lineRule="exact"/>
              <w:textAlignment w:val="top"/>
              <w:rPr>
                <w:rStyle w:val="5"/>
                <w:rFonts w:hAnsi="Calibri"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int="eastAsia"/>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jc w:val="center"/>
        </w:trPr>
        <w:tc>
          <w:tcPr>
            <w:tcW w:w="327" w:type="pct"/>
            <w:noWrap w:val="0"/>
            <w:vAlign w:val="center"/>
          </w:tcPr>
          <w:p>
            <w:pPr>
              <w:spacing w:line="300" w:lineRule="exact"/>
              <w:jc w:val="center"/>
              <w:textAlignment w:val="top"/>
              <w:rPr>
                <w:rFonts w:hint="eastAsia" w:ascii="宋体" w:hAnsi="宋体" w:cs="宋体"/>
                <w:color w:val="000000"/>
              </w:rPr>
            </w:pPr>
            <w:r>
              <w:rPr>
                <w:rFonts w:ascii="宋体" w:hAnsi="宋体" w:cs="宋体"/>
                <w:color w:val="000000"/>
              </w:rPr>
              <w:t>*</w:t>
            </w:r>
            <w:r>
              <w:rPr>
                <w:rFonts w:hint="eastAsia" w:ascii="宋体" w:hAnsi="宋体" w:cs="宋体"/>
                <w:color w:val="000000"/>
              </w:rPr>
              <w:t>5</w:t>
            </w:r>
            <w:r>
              <w:rPr>
                <w:rFonts w:ascii="宋体" w:hAnsi="宋体" w:cs="宋体"/>
                <w:color w:val="000000"/>
              </w:rPr>
              <w:t>.</w:t>
            </w:r>
            <w:r>
              <w:rPr>
                <w:rFonts w:hint="eastAsia" w:ascii="宋体" w:hAnsi="宋体" w:cs="宋体"/>
                <w:color w:val="000000"/>
              </w:rPr>
              <w:t>7</w:t>
            </w:r>
          </w:p>
        </w:tc>
        <w:tc>
          <w:tcPr>
            <w:tcW w:w="1962" w:type="pct"/>
            <w:noWrap w:val="0"/>
            <w:vAlign w:val="center"/>
          </w:tcPr>
          <w:p>
            <w:pPr>
              <w:spacing w:line="300" w:lineRule="exact"/>
              <w:textAlignment w:val="top"/>
              <w:rPr>
                <w:rFonts w:ascii="宋体" w:hAnsi="宋体" w:cs="Times New Roman"/>
                <w:color w:val="000000"/>
                <w:kern w:val="0"/>
              </w:rPr>
            </w:pPr>
            <w:r>
              <w:rPr>
                <w:rFonts w:hint="eastAsia" w:ascii="宋体" w:hAnsi="宋体" w:cs="宋体"/>
                <w:color w:val="000000"/>
                <w:kern w:val="0"/>
              </w:rPr>
              <w:t>医疗器械信息化物流综合管理系统应实现与委托方的数据自动实时数据传输和交互功能，实现基础数据及收货、查验、检查、发货和复核、运输等数据和记录的同步交换。</w:t>
            </w:r>
          </w:p>
        </w:tc>
        <w:tc>
          <w:tcPr>
            <w:tcW w:w="2127" w:type="pct"/>
            <w:noWrap w:val="0"/>
            <w:vAlign w:val="center"/>
          </w:tcPr>
          <w:p>
            <w:pPr>
              <w:spacing w:line="300" w:lineRule="exact"/>
              <w:jc w:val="left"/>
              <w:textAlignment w:val="top"/>
              <w:rPr>
                <w:rFonts w:ascii="宋体" w:hAnsi="宋体" w:cs="Times New Roman"/>
                <w:color w:val="000000"/>
                <w:kern w:val="0"/>
              </w:rPr>
            </w:pPr>
            <w:r>
              <w:rPr>
                <w:rFonts w:ascii="宋体" w:hAnsi="宋体" w:cs="宋体"/>
                <w:color w:val="000000"/>
                <w:kern w:val="0"/>
              </w:rPr>
              <w:t>1.</w:t>
            </w:r>
            <w:r>
              <w:rPr>
                <w:rFonts w:hint="eastAsia" w:ascii="宋体" w:hAnsi="宋体" w:cs="宋体"/>
                <w:color w:val="000000"/>
                <w:kern w:val="0"/>
              </w:rPr>
              <w:t>通过系统演示，确认相关功能。</w:t>
            </w:r>
          </w:p>
        </w:tc>
        <w:tc>
          <w:tcPr>
            <w:tcW w:w="584" w:type="pc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 w:hRule="atLeast"/>
          <w:jc w:val="center"/>
        </w:trPr>
        <w:tc>
          <w:tcPr>
            <w:tcW w:w="327" w:type="pct"/>
            <w:noWrap w:val="0"/>
            <w:vAlign w:val="center"/>
          </w:tcPr>
          <w:p>
            <w:pPr>
              <w:spacing w:line="300" w:lineRule="exact"/>
              <w:jc w:val="center"/>
              <w:rPr>
                <w:rFonts w:hint="eastAsia" w:ascii="宋体" w:hAnsi="宋体" w:cs="Times New Roman"/>
                <w:color w:val="000000"/>
              </w:rPr>
            </w:pPr>
            <w:r>
              <w:rPr>
                <w:rFonts w:hint="eastAsia" w:ascii="宋体" w:hAnsi="宋体" w:cs="宋体"/>
                <w:color w:val="000000"/>
              </w:rPr>
              <w:t>5</w:t>
            </w:r>
            <w:r>
              <w:rPr>
                <w:rFonts w:ascii="宋体" w:hAnsi="宋体" w:cs="宋体"/>
                <w:color w:val="000000"/>
              </w:rPr>
              <w:t>.</w:t>
            </w:r>
            <w:r>
              <w:rPr>
                <w:rFonts w:hint="eastAsia" w:ascii="宋体" w:hAnsi="宋体" w:cs="宋体"/>
                <w:color w:val="000000"/>
              </w:rPr>
              <w:t>8</w:t>
            </w:r>
          </w:p>
        </w:tc>
        <w:tc>
          <w:tcPr>
            <w:tcW w:w="1962" w:type="pct"/>
            <w:noWrap w:val="0"/>
            <w:vAlign w:val="center"/>
          </w:tcPr>
          <w:p>
            <w:pPr>
              <w:spacing w:line="300" w:lineRule="exact"/>
              <w:rPr>
                <w:rFonts w:ascii="宋体" w:hAnsi="宋体" w:cs="Times New Roman"/>
                <w:color w:val="000000"/>
              </w:rPr>
            </w:pPr>
            <w:r>
              <w:rPr>
                <w:rFonts w:hint="eastAsia" w:ascii="宋体" w:hAnsi="宋体" w:cs="宋体"/>
                <w:color w:val="000000"/>
                <w:kern w:val="0"/>
              </w:rPr>
              <w:t>医疗器械信息化物流综合管理系统应具备自动生成收货、查验、检查、复核、发货、运输等工作记录功能。</w:t>
            </w:r>
          </w:p>
        </w:tc>
        <w:tc>
          <w:tcPr>
            <w:tcW w:w="2127" w:type="pct"/>
            <w:noWrap w:val="0"/>
            <w:vAlign w:val="center"/>
          </w:tcPr>
          <w:p>
            <w:pPr>
              <w:widowControl/>
              <w:spacing w:line="300" w:lineRule="exact"/>
              <w:jc w:val="left"/>
              <w:textAlignment w:val="top"/>
              <w:rPr>
                <w:rFonts w:ascii="宋体" w:hAnsi="宋体" w:cs="Times New Roman"/>
                <w:color w:val="000000"/>
              </w:rPr>
            </w:pPr>
            <w:r>
              <w:rPr>
                <w:rFonts w:ascii="宋体" w:hAnsi="宋体" w:cs="宋体"/>
                <w:color w:val="000000"/>
              </w:rPr>
              <w:t>1.</w:t>
            </w:r>
            <w:r>
              <w:rPr>
                <w:rFonts w:hint="eastAsia" w:ascii="宋体" w:hAnsi="宋体" w:cs="宋体"/>
                <w:color w:val="000000"/>
                <w:kern w:val="0"/>
              </w:rPr>
              <w:t>通过系统演示，确认相关功能。</w:t>
            </w:r>
          </w:p>
        </w:tc>
        <w:tc>
          <w:tcPr>
            <w:tcW w:w="584" w:type="pc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4" w:hRule="atLeast"/>
          <w:jc w:val="center"/>
        </w:trPr>
        <w:tc>
          <w:tcPr>
            <w:tcW w:w="327" w:type="pct"/>
            <w:noWrap w:val="0"/>
            <w:vAlign w:val="center"/>
          </w:tcPr>
          <w:p>
            <w:pPr>
              <w:spacing w:line="300" w:lineRule="exact"/>
              <w:jc w:val="center"/>
              <w:textAlignment w:val="top"/>
              <w:rPr>
                <w:rFonts w:hint="eastAsia" w:ascii="宋体" w:hAnsi="宋体" w:cs="宋体"/>
                <w:color w:val="000000"/>
              </w:rPr>
            </w:pPr>
            <w:r>
              <w:rPr>
                <w:rFonts w:hint="eastAsia" w:ascii="宋体" w:hAnsi="宋体" w:cs="宋体"/>
                <w:color w:val="000000"/>
              </w:rPr>
              <w:t>*5</w:t>
            </w:r>
            <w:r>
              <w:rPr>
                <w:rFonts w:ascii="宋体" w:hAnsi="宋体" w:cs="宋体"/>
                <w:color w:val="000000"/>
              </w:rPr>
              <w:t>.</w:t>
            </w:r>
            <w:r>
              <w:rPr>
                <w:rFonts w:hint="eastAsia" w:ascii="宋体" w:hAnsi="宋体" w:cs="宋体"/>
                <w:color w:val="000000"/>
              </w:rPr>
              <w:t>9</w:t>
            </w:r>
          </w:p>
        </w:tc>
        <w:tc>
          <w:tcPr>
            <w:tcW w:w="1962" w:type="pct"/>
            <w:noWrap w:val="0"/>
            <w:vAlign w:val="center"/>
          </w:tcPr>
          <w:p>
            <w:pPr>
              <w:spacing w:line="300" w:lineRule="exact"/>
              <w:textAlignment w:val="top"/>
              <w:rPr>
                <w:rFonts w:hint="eastAsia" w:ascii="宋体" w:hAnsi="宋体" w:cs="宋体"/>
                <w:color w:val="000000"/>
                <w:kern w:val="0"/>
              </w:rPr>
            </w:pPr>
            <w:r>
              <w:rPr>
                <w:rFonts w:hint="eastAsia" w:ascii="宋体" w:hAnsi="宋体" w:cs="宋体"/>
                <w:color w:val="000000"/>
                <w:kern w:val="0"/>
              </w:rPr>
              <w:t>仓库管理系统应具备对委托企业及委托品种资质的维护及自动跟踪、识别控制功能。</w:t>
            </w:r>
          </w:p>
        </w:tc>
        <w:tc>
          <w:tcPr>
            <w:tcW w:w="2127" w:type="pct"/>
            <w:noWrap w:val="0"/>
            <w:vAlign w:val="center"/>
          </w:tcPr>
          <w:p>
            <w:pPr>
              <w:widowControl/>
              <w:spacing w:line="300" w:lineRule="exact"/>
              <w:jc w:val="left"/>
              <w:textAlignment w:val="top"/>
              <w:rPr>
                <w:rFonts w:ascii="宋体" w:hAnsi="宋体" w:cs="Times New Roman"/>
                <w:color w:val="000000"/>
              </w:rPr>
            </w:pPr>
            <w:r>
              <w:rPr>
                <w:rFonts w:hint="eastAsia" w:ascii="宋体" w:hAnsi="宋体" w:cs="宋体"/>
                <w:color w:val="000000"/>
              </w:rPr>
              <w:t>1</w:t>
            </w:r>
            <w:r>
              <w:rPr>
                <w:rFonts w:ascii="宋体" w:hAnsi="宋体" w:cs="宋体"/>
                <w:color w:val="000000"/>
              </w:rPr>
              <w:t>.</w:t>
            </w:r>
            <w:r>
              <w:rPr>
                <w:rFonts w:hint="eastAsia" w:ascii="宋体" w:hAnsi="宋体" w:cs="宋体"/>
                <w:color w:val="000000"/>
              </w:rPr>
              <w:t>查看系统质量管理基础数据，确认相关功能（包括委托企业及委托品种资质的合法性、有效性，并对其自动跟踪、识别与控制，医疗器械资质有效期的自动计算，到期前预警提醒等功能））</w:t>
            </w:r>
            <w:r>
              <w:rPr>
                <w:rFonts w:hint="eastAsia" w:ascii="宋体" w:hAnsi="宋体" w:cs="宋体"/>
                <w:color w:val="000000"/>
                <w:kern w:val="0"/>
              </w:rPr>
              <w:t>。</w:t>
            </w:r>
          </w:p>
        </w:tc>
        <w:tc>
          <w:tcPr>
            <w:tcW w:w="584" w:type="pc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jc w:val="center"/>
        </w:trPr>
        <w:tc>
          <w:tcPr>
            <w:tcW w:w="327" w:type="pct"/>
            <w:noWrap w:val="0"/>
            <w:vAlign w:val="center"/>
          </w:tcPr>
          <w:p>
            <w:pPr>
              <w:spacing w:line="300" w:lineRule="exact"/>
              <w:jc w:val="center"/>
              <w:rPr>
                <w:rFonts w:ascii="宋体" w:hAnsi="宋体" w:cs="宋体"/>
                <w:color w:val="000000"/>
              </w:rPr>
            </w:pPr>
            <w:r>
              <w:rPr>
                <w:rFonts w:hint="eastAsia" w:ascii="宋体" w:hAnsi="宋体" w:cs="宋体"/>
                <w:color w:val="000000"/>
              </w:rPr>
              <w:t>5</w:t>
            </w:r>
            <w:r>
              <w:rPr>
                <w:rFonts w:ascii="宋体" w:hAnsi="宋体" w:cs="宋体"/>
                <w:color w:val="000000"/>
              </w:rPr>
              <w:t>.</w:t>
            </w:r>
            <w:r>
              <w:rPr>
                <w:rFonts w:hint="eastAsia" w:ascii="宋体" w:hAnsi="宋体" w:cs="宋体"/>
                <w:color w:val="000000"/>
              </w:rPr>
              <w:t>10</w:t>
            </w:r>
          </w:p>
        </w:tc>
        <w:tc>
          <w:tcPr>
            <w:tcW w:w="1962" w:type="pct"/>
            <w:noWrap w:val="0"/>
            <w:vAlign w:val="center"/>
          </w:tcPr>
          <w:p>
            <w:pPr>
              <w:spacing w:line="300" w:lineRule="exact"/>
              <w:rPr>
                <w:rFonts w:hint="eastAsia" w:ascii="宋体" w:hAnsi="宋体" w:cs="宋体"/>
                <w:color w:val="000000"/>
                <w:kern w:val="0"/>
              </w:rPr>
            </w:pPr>
            <w:r>
              <w:rPr>
                <w:rFonts w:hint="eastAsia" w:ascii="宋体" w:hAnsi="宋体" w:cs="宋体"/>
                <w:color w:val="000000"/>
                <w:kern w:val="0"/>
              </w:rPr>
              <w:t>入库时，仓库管理系统应具备能够通过信息化手段采集医疗器械基本信息，并根据医疗器械贮存条件自动分配货位功能。</w:t>
            </w:r>
          </w:p>
        </w:tc>
        <w:tc>
          <w:tcPr>
            <w:tcW w:w="2127" w:type="pct"/>
            <w:noWrap w:val="0"/>
            <w:vAlign w:val="center"/>
          </w:tcPr>
          <w:p>
            <w:pPr>
              <w:spacing w:line="300" w:lineRule="exact"/>
              <w:jc w:val="left"/>
              <w:textAlignment w:val="top"/>
              <w:rPr>
                <w:rFonts w:ascii="宋体" w:hAnsi="宋体" w:cs="Times New Roman"/>
                <w:color w:val="000000"/>
                <w:kern w:val="0"/>
              </w:rPr>
            </w:pPr>
            <w:r>
              <w:rPr>
                <w:rFonts w:ascii="宋体" w:hAnsi="宋体" w:cs="宋体"/>
                <w:color w:val="000000"/>
                <w:kern w:val="0"/>
              </w:rPr>
              <w:t>1.</w:t>
            </w:r>
            <w:r>
              <w:rPr>
                <w:rFonts w:hint="eastAsia" w:ascii="宋体" w:hAnsi="宋体" w:cs="宋体"/>
                <w:color w:val="000000"/>
                <w:kern w:val="0"/>
              </w:rPr>
              <w:t>根据产品基础信息维护和系统设置情况，通过系统演示，确认相关功能（自动分配货位功能应根据产品存储要求分配相应的存储区域，且同一货位不得混放、混批）</w:t>
            </w:r>
            <w:r>
              <w:rPr>
                <w:rFonts w:hint="eastAsia" w:ascii="宋体" w:hAnsi="宋体" w:cs="宋体"/>
                <w:color w:val="000000"/>
              </w:rPr>
              <w:t>。</w:t>
            </w:r>
          </w:p>
        </w:tc>
        <w:tc>
          <w:tcPr>
            <w:tcW w:w="584" w:type="pc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3" w:hRule="atLeast"/>
          <w:jc w:val="center"/>
        </w:trPr>
        <w:tc>
          <w:tcPr>
            <w:tcW w:w="327" w:type="pct"/>
            <w:noWrap w:val="0"/>
            <w:vAlign w:val="center"/>
          </w:tcPr>
          <w:p>
            <w:pPr>
              <w:spacing w:line="300" w:lineRule="exact"/>
              <w:jc w:val="center"/>
              <w:textAlignment w:val="top"/>
              <w:rPr>
                <w:rFonts w:ascii="宋体" w:hAnsi="宋体" w:cs="宋体"/>
                <w:color w:val="000000"/>
              </w:rPr>
            </w:pPr>
            <w:r>
              <w:rPr>
                <w:rFonts w:hint="eastAsia" w:ascii="宋体" w:hAnsi="宋体" w:cs="宋体"/>
                <w:color w:val="000000"/>
              </w:rPr>
              <w:t>*5</w:t>
            </w:r>
            <w:r>
              <w:rPr>
                <w:rFonts w:ascii="宋体" w:hAnsi="宋体" w:cs="宋体"/>
                <w:color w:val="000000"/>
              </w:rPr>
              <w:t>.</w:t>
            </w:r>
            <w:r>
              <w:rPr>
                <w:rFonts w:hint="eastAsia" w:ascii="宋体" w:hAnsi="宋体" w:cs="宋体"/>
                <w:color w:val="000000"/>
              </w:rPr>
              <w:t>11</w:t>
            </w:r>
          </w:p>
        </w:tc>
        <w:tc>
          <w:tcPr>
            <w:tcW w:w="1962" w:type="pct"/>
            <w:noWrap w:val="0"/>
            <w:vAlign w:val="center"/>
          </w:tcPr>
          <w:p>
            <w:pPr>
              <w:spacing w:line="300" w:lineRule="exact"/>
              <w:textAlignment w:val="top"/>
              <w:rPr>
                <w:rFonts w:ascii="宋体" w:hAnsi="宋体" w:cs="Times New Roman"/>
                <w:color w:val="000000"/>
                <w:kern w:val="0"/>
              </w:rPr>
            </w:pPr>
            <w:r>
              <w:rPr>
                <w:rFonts w:hint="eastAsia" w:ascii="宋体" w:hAnsi="宋体" w:cs="宋体"/>
                <w:color w:val="000000"/>
                <w:kern w:val="0"/>
              </w:rPr>
              <w:t>仓库管理系统应具备对收货、查验、上架、贮存、检查、拣选、复核等各环节医疗器械质量状况进行实时判断和控制功能。</w:t>
            </w:r>
          </w:p>
        </w:tc>
        <w:tc>
          <w:tcPr>
            <w:tcW w:w="2127" w:type="pct"/>
            <w:noWrap w:val="0"/>
            <w:vAlign w:val="center"/>
          </w:tcPr>
          <w:p>
            <w:pPr>
              <w:widowControl/>
              <w:spacing w:line="300" w:lineRule="exact"/>
              <w:jc w:val="left"/>
              <w:textAlignment w:val="top"/>
              <w:rPr>
                <w:rFonts w:ascii="宋体" w:hAnsi="宋体" w:cs="Times New Roman"/>
                <w:color w:val="000000"/>
              </w:rPr>
            </w:pPr>
            <w:r>
              <w:rPr>
                <w:rFonts w:ascii="宋体" w:hAnsi="宋体" w:cs="宋体"/>
                <w:color w:val="000000"/>
              </w:rPr>
              <w:t>1.</w:t>
            </w:r>
            <w:r>
              <w:rPr>
                <w:rFonts w:hint="eastAsia" w:ascii="宋体" w:hAnsi="宋体" w:cs="宋体"/>
                <w:color w:val="000000"/>
                <w:kern w:val="0"/>
              </w:rPr>
              <w:t>通过系统演示，确认相关功能</w:t>
            </w:r>
            <w:r>
              <w:rPr>
                <w:rFonts w:hint="eastAsia" w:ascii="宋体" w:hAnsi="宋体" w:cs="宋体"/>
                <w:color w:val="000000"/>
              </w:rPr>
              <w:t>（包括医疗器械近效期预警、过效期锁定等功能）</w:t>
            </w:r>
          </w:p>
        </w:tc>
        <w:tc>
          <w:tcPr>
            <w:tcW w:w="584" w:type="pc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 w:hRule="atLeast"/>
          <w:jc w:val="center"/>
        </w:trPr>
        <w:tc>
          <w:tcPr>
            <w:tcW w:w="327" w:type="pct"/>
            <w:noWrap w:val="0"/>
            <w:vAlign w:val="center"/>
          </w:tcPr>
          <w:p>
            <w:pPr>
              <w:spacing w:line="300" w:lineRule="exact"/>
              <w:jc w:val="center"/>
              <w:textAlignment w:val="top"/>
              <w:rPr>
                <w:rFonts w:ascii="宋体" w:hAnsi="宋体" w:cs="宋体"/>
                <w:color w:val="000000"/>
              </w:rPr>
            </w:pPr>
            <w:r>
              <w:rPr>
                <w:rFonts w:hint="eastAsia" w:ascii="宋体" w:hAnsi="宋体" w:cs="宋体"/>
                <w:color w:val="000000"/>
              </w:rPr>
              <w:t>*5</w:t>
            </w:r>
            <w:r>
              <w:rPr>
                <w:rFonts w:ascii="宋体" w:hAnsi="宋体" w:cs="宋体"/>
                <w:color w:val="000000"/>
              </w:rPr>
              <w:t>.</w:t>
            </w:r>
            <w:r>
              <w:rPr>
                <w:rFonts w:hint="eastAsia" w:ascii="宋体" w:hAnsi="宋体" w:cs="宋体"/>
                <w:color w:val="000000"/>
              </w:rPr>
              <w:t>12</w:t>
            </w:r>
          </w:p>
        </w:tc>
        <w:tc>
          <w:tcPr>
            <w:tcW w:w="1962" w:type="pct"/>
            <w:noWrap w:val="0"/>
            <w:vAlign w:val="center"/>
          </w:tcPr>
          <w:p>
            <w:pPr>
              <w:spacing w:line="300" w:lineRule="exact"/>
              <w:textAlignment w:val="top"/>
              <w:rPr>
                <w:rFonts w:ascii="宋体" w:hAnsi="宋体" w:cs="Times New Roman"/>
                <w:color w:val="000000"/>
                <w:kern w:val="0"/>
              </w:rPr>
            </w:pPr>
            <w:r>
              <w:rPr>
                <w:rFonts w:hint="eastAsia" w:ascii="宋体" w:hAnsi="宋体" w:cs="宋体"/>
                <w:color w:val="000000"/>
                <w:kern w:val="0"/>
              </w:rPr>
              <w:t>冷链运输追溯系统应具备医疗器械运输过程中温度进行监测、记录、保存、查询功能。</w:t>
            </w:r>
          </w:p>
        </w:tc>
        <w:tc>
          <w:tcPr>
            <w:tcW w:w="2127" w:type="pct"/>
            <w:noWrap w:val="0"/>
            <w:vAlign w:val="center"/>
          </w:tcPr>
          <w:p>
            <w:pPr>
              <w:spacing w:line="300" w:lineRule="exact"/>
              <w:jc w:val="left"/>
              <w:textAlignment w:val="top"/>
              <w:rPr>
                <w:rFonts w:ascii="宋体" w:hAnsi="宋体" w:cs="Times New Roman"/>
                <w:color w:val="000000"/>
              </w:rPr>
            </w:pPr>
            <w:r>
              <w:rPr>
                <w:rFonts w:ascii="宋体" w:hAnsi="宋体" w:cs="宋体"/>
                <w:color w:val="000000"/>
              </w:rPr>
              <w:t>1.</w:t>
            </w:r>
            <w:r>
              <w:rPr>
                <w:rFonts w:hint="eastAsia" w:ascii="宋体" w:hAnsi="宋体" w:cs="宋体"/>
                <w:color w:val="000000"/>
                <w:kern w:val="0"/>
              </w:rPr>
              <w:t>通过系统演示，确认相关功能</w:t>
            </w:r>
            <w:r>
              <w:rPr>
                <w:rFonts w:hint="eastAsia" w:ascii="宋体" w:hAnsi="宋体" w:cs="宋体"/>
                <w:color w:val="000000"/>
              </w:rPr>
              <w:t>。</w:t>
            </w:r>
          </w:p>
        </w:tc>
        <w:tc>
          <w:tcPr>
            <w:tcW w:w="584" w:type="pc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4" w:hRule="atLeast"/>
          <w:jc w:val="center"/>
        </w:trPr>
        <w:tc>
          <w:tcPr>
            <w:tcW w:w="327" w:type="pct"/>
            <w:noWrap w:val="0"/>
            <w:vAlign w:val="center"/>
          </w:tcPr>
          <w:p>
            <w:pPr>
              <w:spacing w:line="300" w:lineRule="exact"/>
              <w:jc w:val="center"/>
              <w:textAlignment w:val="top"/>
              <w:rPr>
                <w:rFonts w:ascii="宋体" w:hAnsi="宋体" w:cs="宋体"/>
                <w:color w:val="000000"/>
              </w:rPr>
            </w:pPr>
            <w:r>
              <w:rPr>
                <w:rFonts w:hint="eastAsia" w:ascii="宋体" w:hAnsi="宋体" w:cs="宋体"/>
                <w:color w:val="000000"/>
              </w:rPr>
              <w:t>5</w:t>
            </w:r>
            <w:r>
              <w:rPr>
                <w:rFonts w:ascii="宋体" w:hAnsi="宋体" w:cs="宋体"/>
                <w:color w:val="000000"/>
              </w:rPr>
              <w:t>.</w:t>
            </w:r>
            <w:r>
              <w:rPr>
                <w:rFonts w:hint="eastAsia" w:ascii="宋体" w:hAnsi="宋体" w:cs="宋体"/>
                <w:color w:val="000000"/>
              </w:rPr>
              <w:t>13</w:t>
            </w:r>
          </w:p>
        </w:tc>
        <w:tc>
          <w:tcPr>
            <w:tcW w:w="1962" w:type="pct"/>
            <w:noWrap w:val="0"/>
            <w:vAlign w:val="center"/>
          </w:tcPr>
          <w:p>
            <w:pPr>
              <w:spacing w:line="300" w:lineRule="exact"/>
              <w:textAlignment w:val="top"/>
              <w:rPr>
                <w:rFonts w:ascii="宋体" w:hAnsi="宋体" w:cs="Times New Roman"/>
                <w:color w:val="000000"/>
                <w:kern w:val="0"/>
              </w:rPr>
            </w:pPr>
            <w:r>
              <w:rPr>
                <w:rFonts w:hint="eastAsia" w:ascii="宋体" w:hAnsi="宋体" w:cs="宋体"/>
                <w:color w:val="000000"/>
                <w:kern w:val="0"/>
              </w:rPr>
              <w:t>冷链运输追溯系统应具备医疗器械运输过程中异常温度进行自动报警功能。</w:t>
            </w:r>
          </w:p>
        </w:tc>
        <w:tc>
          <w:tcPr>
            <w:tcW w:w="2127" w:type="pct"/>
            <w:noWrap w:val="0"/>
            <w:vAlign w:val="center"/>
          </w:tcPr>
          <w:p>
            <w:pPr>
              <w:spacing w:line="300" w:lineRule="exact"/>
              <w:jc w:val="left"/>
              <w:textAlignment w:val="top"/>
              <w:rPr>
                <w:rFonts w:ascii="宋体" w:hAnsi="宋体" w:cs="Times New Roman"/>
                <w:color w:val="000000"/>
              </w:rPr>
            </w:pPr>
            <w:r>
              <w:rPr>
                <w:rFonts w:ascii="宋体" w:hAnsi="宋体" w:cs="宋体"/>
                <w:color w:val="000000"/>
              </w:rPr>
              <w:t>1.</w:t>
            </w:r>
            <w:r>
              <w:rPr>
                <w:rFonts w:hint="eastAsia" w:ascii="宋体" w:hAnsi="宋体" w:cs="宋体"/>
                <w:color w:val="000000"/>
                <w:kern w:val="0"/>
              </w:rPr>
              <w:t>通过系统演示，确认相关功能（温度异常应能够及时、有效的报警）</w:t>
            </w:r>
            <w:r>
              <w:rPr>
                <w:rFonts w:hint="eastAsia" w:ascii="宋体" w:hAnsi="宋体" w:cs="宋体"/>
                <w:color w:val="000000"/>
              </w:rPr>
              <w:t>。</w:t>
            </w:r>
          </w:p>
        </w:tc>
        <w:tc>
          <w:tcPr>
            <w:tcW w:w="584" w:type="pc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327" w:type="pct"/>
            <w:noWrap w:val="0"/>
            <w:vAlign w:val="center"/>
          </w:tcPr>
          <w:p>
            <w:pPr>
              <w:spacing w:line="300" w:lineRule="exact"/>
              <w:jc w:val="center"/>
              <w:textAlignment w:val="top"/>
              <w:rPr>
                <w:rFonts w:ascii="宋体" w:hAnsi="宋体" w:cs="宋体"/>
                <w:color w:val="000000"/>
              </w:rPr>
            </w:pPr>
            <w:r>
              <w:rPr>
                <w:rFonts w:hint="eastAsia" w:ascii="宋体" w:hAnsi="宋体" w:cs="宋体"/>
                <w:color w:val="000000"/>
              </w:rPr>
              <w:t>5</w:t>
            </w:r>
            <w:r>
              <w:rPr>
                <w:rFonts w:ascii="宋体" w:hAnsi="宋体" w:cs="宋体"/>
                <w:color w:val="000000"/>
              </w:rPr>
              <w:t>.</w:t>
            </w:r>
            <w:r>
              <w:rPr>
                <w:rFonts w:hint="eastAsia" w:ascii="宋体" w:hAnsi="宋体" w:cs="宋体"/>
                <w:color w:val="000000"/>
              </w:rPr>
              <w:t>14</w:t>
            </w:r>
          </w:p>
        </w:tc>
        <w:tc>
          <w:tcPr>
            <w:tcW w:w="1962" w:type="pct"/>
            <w:noWrap w:val="0"/>
            <w:vAlign w:val="center"/>
          </w:tcPr>
          <w:p>
            <w:pPr>
              <w:spacing w:line="300" w:lineRule="exact"/>
              <w:textAlignment w:val="top"/>
              <w:rPr>
                <w:rFonts w:hint="eastAsia" w:ascii="宋体" w:hAnsi="宋体" w:cs="宋体"/>
                <w:color w:val="000000"/>
                <w:kern w:val="0"/>
              </w:rPr>
            </w:pPr>
            <w:r>
              <w:rPr>
                <w:rFonts w:hint="eastAsia" w:ascii="宋体" w:hAnsi="宋体" w:cs="宋体"/>
                <w:color w:val="000000"/>
                <w:kern w:val="0"/>
              </w:rPr>
              <w:t>冷链运输追溯系统应具备医疗器械运输环节中的温度统计功能，并根据统计结果汇总形成温度曲线。</w:t>
            </w:r>
          </w:p>
        </w:tc>
        <w:tc>
          <w:tcPr>
            <w:tcW w:w="2127" w:type="pct"/>
            <w:noWrap w:val="0"/>
            <w:vAlign w:val="center"/>
          </w:tcPr>
          <w:p>
            <w:pPr>
              <w:spacing w:line="300" w:lineRule="exact"/>
              <w:jc w:val="left"/>
              <w:textAlignment w:val="top"/>
              <w:rPr>
                <w:rFonts w:ascii="宋体" w:hAnsi="宋体" w:cs="Times New Roman"/>
                <w:color w:val="000000"/>
                <w:kern w:val="0"/>
              </w:rPr>
            </w:pPr>
            <w:r>
              <w:rPr>
                <w:rFonts w:ascii="宋体" w:hAnsi="宋体" w:cs="宋体"/>
                <w:color w:val="000000"/>
              </w:rPr>
              <w:t>1.</w:t>
            </w:r>
            <w:r>
              <w:rPr>
                <w:rFonts w:hint="eastAsia" w:ascii="宋体" w:hAnsi="宋体" w:cs="宋体"/>
                <w:color w:val="000000"/>
                <w:kern w:val="0"/>
              </w:rPr>
              <w:t>通过系统演示，确认相关功能（包括运输过程中的温度统计和统计后汇总的温度曲线）</w:t>
            </w:r>
            <w:r>
              <w:rPr>
                <w:rFonts w:hint="eastAsia" w:ascii="宋体" w:hAnsi="宋体" w:cs="宋体"/>
                <w:color w:val="000000"/>
              </w:rPr>
              <w:t>。</w:t>
            </w:r>
          </w:p>
        </w:tc>
        <w:tc>
          <w:tcPr>
            <w:tcW w:w="584" w:type="pc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327" w:type="pct"/>
            <w:noWrap w:val="0"/>
            <w:vAlign w:val="center"/>
          </w:tcPr>
          <w:p>
            <w:pPr>
              <w:spacing w:line="300" w:lineRule="exact"/>
              <w:jc w:val="center"/>
              <w:textAlignment w:val="top"/>
              <w:rPr>
                <w:rFonts w:ascii="宋体" w:hAnsi="宋体" w:cs="宋体"/>
                <w:color w:val="000000"/>
              </w:rPr>
            </w:pPr>
            <w:r>
              <w:rPr>
                <w:rFonts w:hint="eastAsia" w:ascii="宋体" w:hAnsi="宋体" w:cs="宋体"/>
                <w:color w:val="000000"/>
              </w:rPr>
              <w:t>5</w:t>
            </w:r>
            <w:r>
              <w:rPr>
                <w:rFonts w:ascii="宋体" w:hAnsi="宋体" w:cs="宋体"/>
                <w:color w:val="000000"/>
              </w:rPr>
              <w:t>.</w:t>
            </w:r>
            <w:r>
              <w:rPr>
                <w:rFonts w:hint="eastAsia" w:ascii="宋体" w:hAnsi="宋体" w:cs="宋体"/>
                <w:color w:val="000000"/>
              </w:rPr>
              <w:t>15</w:t>
            </w:r>
          </w:p>
        </w:tc>
        <w:tc>
          <w:tcPr>
            <w:tcW w:w="1962" w:type="pct"/>
            <w:noWrap w:val="0"/>
            <w:vAlign w:val="center"/>
          </w:tcPr>
          <w:p>
            <w:pPr>
              <w:spacing w:line="300" w:lineRule="exact"/>
              <w:textAlignment w:val="top"/>
              <w:rPr>
                <w:rFonts w:ascii="宋体" w:hAnsi="宋体" w:cs="Times New Roman"/>
                <w:color w:val="000000"/>
                <w:kern w:val="0"/>
              </w:rPr>
            </w:pPr>
            <w:r>
              <w:rPr>
                <w:rFonts w:hint="eastAsia" w:ascii="宋体" w:hAnsi="宋体" w:cs="宋体"/>
                <w:color w:val="000000"/>
                <w:kern w:val="0"/>
              </w:rPr>
              <w:t>冷链运输追溯系统应具备可供委托方在线查询医疗器械运输过程温度功能。</w:t>
            </w:r>
          </w:p>
        </w:tc>
        <w:tc>
          <w:tcPr>
            <w:tcW w:w="2127" w:type="pct"/>
            <w:noWrap w:val="0"/>
            <w:vAlign w:val="center"/>
          </w:tcPr>
          <w:p>
            <w:pPr>
              <w:spacing w:line="300" w:lineRule="exact"/>
              <w:jc w:val="left"/>
              <w:textAlignment w:val="top"/>
              <w:rPr>
                <w:rFonts w:hint="eastAsia" w:ascii="宋体" w:hAnsi="宋体" w:cs="宋体"/>
                <w:color w:val="000000"/>
              </w:rPr>
            </w:pPr>
            <w:r>
              <w:rPr>
                <w:rFonts w:ascii="宋体" w:hAnsi="宋体" w:cs="宋体"/>
                <w:color w:val="000000"/>
              </w:rPr>
              <w:t>1.</w:t>
            </w:r>
            <w:r>
              <w:rPr>
                <w:rFonts w:hint="eastAsia" w:ascii="宋体" w:hAnsi="宋体" w:cs="宋体"/>
                <w:color w:val="000000"/>
                <w:kern w:val="0"/>
              </w:rPr>
              <w:t>通过系统演示，确认相关功能</w:t>
            </w:r>
            <w:r>
              <w:rPr>
                <w:rFonts w:hint="eastAsia" w:ascii="宋体" w:hAnsi="宋体" w:cs="宋体"/>
                <w:color w:val="000000"/>
              </w:rPr>
              <w:t>。</w:t>
            </w:r>
          </w:p>
          <w:p>
            <w:pPr>
              <w:spacing w:line="300" w:lineRule="exact"/>
              <w:jc w:val="left"/>
              <w:textAlignment w:val="top"/>
              <w:rPr>
                <w:rFonts w:ascii="宋体" w:hAnsi="宋体" w:cs="Times New Roman"/>
                <w:color w:val="000000"/>
                <w:kern w:val="0"/>
              </w:rPr>
            </w:pPr>
            <w:r>
              <w:rPr>
                <w:rFonts w:hint="eastAsia" w:ascii="宋体" w:hAnsi="宋体" w:cs="Times New Roman"/>
                <w:color w:val="000000"/>
                <w:kern w:val="0"/>
              </w:rPr>
              <w:t>2.</w:t>
            </w:r>
            <w:r>
              <w:rPr>
                <w:rFonts w:hint="eastAsia" w:ascii="宋体" w:hAnsi="宋体" w:cs="宋体"/>
                <w:color w:val="000000"/>
                <w:kern w:val="0"/>
              </w:rPr>
              <w:t>系统应能冷链运输过程温度记录进行备份。</w:t>
            </w:r>
          </w:p>
        </w:tc>
        <w:tc>
          <w:tcPr>
            <w:tcW w:w="584" w:type="pc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0" w:hRule="atLeast"/>
          <w:jc w:val="center"/>
        </w:trPr>
        <w:tc>
          <w:tcPr>
            <w:tcW w:w="327" w:type="pct"/>
            <w:noWrap w:val="0"/>
            <w:vAlign w:val="center"/>
          </w:tcPr>
          <w:p>
            <w:pPr>
              <w:spacing w:line="300" w:lineRule="exact"/>
              <w:jc w:val="center"/>
              <w:rPr>
                <w:rFonts w:ascii="宋体" w:hAnsi="宋体" w:cs="宋体"/>
                <w:color w:val="000000"/>
              </w:rPr>
            </w:pPr>
            <w:r>
              <w:rPr>
                <w:rFonts w:ascii="宋体" w:hAnsi="宋体" w:cs="宋体"/>
                <w:color w:val="000000"/>
              </w:rPr>
              <w:t>*</w:t>
            </w:r>
            <w:r>
              <w:rPr>
                <w:rFonts w:hint="eastAsia" w:ascii="宋体" w:hAnsi="宋体" w:cs="宋体"/>
                <w:color w:val="000000"/>
              </w:rPr>
              <w:t>5</w:t>
            </w:r>
            <w:r>
              <w:rPr>
                <w:rFonts w:ascii="宋体" w:hAnsi="宋体" w:cs="宋体"/>
                <w:color w:val="000000"/>
              </w:rPr>
              <w:t>.</w:t>
            </w:r>
            <w:r>
              <w:rPr>
                <w:rFonts w:hint="eastAsia" w:ascii="宋体" w:hAnsi="宋体" w:cs="宋体"/>
                <w:color w:val="000000"/>
              </w:rPr>
              <w:t>16</w:t>
            </w:r>
          </w:p>
        </w:tc>
        <w:tc>
          <w:tcPr>
            <w:tcW w:w="1962" w:type="pct"/>
            <w:noWrap w:val="0"/>
            <w:vAlign w:val="center"/>
          </w:tcPr>
          <w:p>
            <w:pPr>
              <w:spacing w:line="300" w:lineRule="exact"/>
              <w:textAlignment w:val="top"/>
              <w:rPr>
                <w:rFonts w:ascii="宋体" w:hAnsi="宋体" w:cs="Times New Roman"/>
                <w:color w:val="000000"/>
              </w:rPr>
            </w:pPr>
            <w:r>
              <w:rPr>
                <w:rFonts w:hint="eastAsia" w:ascii="宋体" w:hAnsi="宋体" w:cs="宋体"/>
                <w:color w:val="000000"/>
                <w:kern w:val="0"/>
              </w:rPr>
              <w:t>企业应当具备独立的服务器或存储空间，采用安全可靠的方式存储记录各类数据，按日备份，备份数据分别存放于两个独立存储空间，防止数据损坏和丢失。</w:t>
            </w:r>
            <w:bookmarkStart w:id="0" w:name="_Hlk85977965"/>
            <w:r>
              <w:rPr>
                <w:rFonts w:hint="eastAsia" w:ascii="宋体" w:hAnsi="宋体" w:cs="宋体"/>
                <w:color w:val="000000"/>
                <w:kern w:val="0"/>
              </w:rPr>
              <w:t>数据的保存年限应当不低于《医疗器械经营质量管理规范》中各项记录的保存年限。</w:t>
            </w:r>
            <w:bookmarkEnd w:id="0"/>
          </w:p>
        </w:tc>
        <w:tc>
          <w:tcPr>
            <w:tcW w:w="2127" w:type="pct"/>
            <w:noWrap w:val="0"/>
            <w:vAlign w:val="center"/>
          </w:tcPr>
          <w:p>
            <w:pPr>
              <w:numPr>
                <w:ilvl w:val="0"/>
                <w:numId w:val="3"/>
              </w:numPr>
              <w:spacing w:line="300" w:lineRule="exact"/>
              <w:jc w:val="left"/>
              <w:textAlignment w:val="top"/>
              <w:rPr>
                <w:rFonts w:hint="eastAsia" w:ascii="宋体" w:hAnsi="宋体" w:cs="宋体"/>
                <w:color w:val="000000"/>
                <w:kern w:val="0"/>
              </w:rPr>
            </w:pPr>
            <w:r>
              <w:rPr>
                <w:rFonts w:hint="eastAsia" w:ascii="宋体" w:hAnsi="宋体" w:cs="宋体"/>
                <w:color w:val="000000"/>
              </w:rPr>
              <w:t>查看系统备份，确认安全储存并按日备份，且</w:t>
            </w:r>
            <w:r>
              <w:rPr>
                <w:rFonts w:hint="eastAsia" w:ascii="宋体" w:hAnsi="宋体" w:cs="宋体"/>
                <w:color w:val="000000"/>
                <w:kern w:val="0"/>
              </w:rPr>
              <w:t>备份数据存放于两个独立存储空间；</w:t>
            </w:r>
          </w:p>
          <w:p>
            <w:pPr>
              <w:numPr>
                <w:ilvl w:val="0"/>
                <w:numId w:val="3"/>
              </w:numPr>
              <w:spacing w:line="300" w:lineRule="exact"/>
              <w:jc w:val="left"/>
              <w:textAlignment w:val="top"/>
              <w:rPr>
                <w:rFonts w:hint="eastAsia" w:ascii="宋体" w:hAnsi="宋体" w:cs="宋体"/>
                <w:color w:val="000000"/>
                <w:kern w:val="0"/>
              </w:rPr>
            </w:pPr>
            <w:r>
              <w:rPr>
                <w:rFonts w:hint="eastAsia" w:ascii="宋体" w:hAnsi="宋体" w:cs="宋体"/>
                <w:color w:val="000000"/>
                <w:kern w:val="0"/>
              </w:rPr>
              <w:t>确认电子数据的保存年限符合《医疗器械经营质量管理规范》要求。</w:t>
            </w:r>
          </w:p>
        </w:tc>
        <w:tc>
          <w:tcPr>
            <w:tcW w:w="584" w:type="pc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9" w:hRule="atLeast"/>
          <w:jc w:val="center"/>
        </w:trPr>
        <w:tc>
          <w:tcPr>
            <w:tcW w:w="327" w:type="pct"/>
            <w:noWrap w:val="0"/>
            <w:vAlign w:val="center"/>
          </w:tcPr>
          <w:p>
            <w:pPr>
              <w:spacing w:line="300" w:lineRule="exact"/>
              <w:jc w:val="center"/>
              <w:rPr>
                <w:rFonts w:ascii="宋体" w:hAnsi="宋体" w:cs="宋体"/>
                <w:color w:val="000000"/>
                <w:highlight w:val="cyan"/>
              </w:rPr>
            </w:pPr>
            <w:r>
              <w:rPr>
                <w:rFonts w:hint="eastAsia" w:ascii="宋体" w:hAnsi="宋体" w:cs="宋体"/>
                <w:color w:val="000000"/>
              </w:rPr>
              <w:t>5.17</w:t>
            </w:r>
          </w:p>
        </w:tc>
        <w:tc>
          <w:tcPr>
            <w:tcW w:w="1962" w:type="pct"/>
            <w:noWrap w:val="0"/>
            <w:vAlign w:val="center"/>
          </w:tcPr>
          <w:p>
            <w:pPr>
              <w:spacing w:line="300" w:lineRule="exact"/>
              <w:rPr>
                <w:rFonts w:hint="eastAsia" w:ascii="宋体" w:hAnsi="宋体" w:cs="宋体"/>
                <w:color w:val="000000"/>
                <w:kern w:val="0"/>
              </w:rPr>
            </w:pPr>
            <w:r>
              <w:rPr>
                <w:rFonts w:hint="eastAsia" w:ascii="宋体" w:hAnsi="宋体" w:cs="宋体"/>
                <w:color w:val="000000"/>
              </w:rPr>
              <w:t>企业计算机信息系统应具备与药品监督管理部门实时同步电子数据的功能。</w:t>
            </w:r>
          </w:p>
        </w:tc>
        <w:tc>
          <w:tcPr>
            <w:tcW w:w="2127" w:type="pct"/>
            <w:noWrap w:val="0"/>
            <w:vAlign w:val="center"/>
          </w:tcPr>
          <w:p>
            <w:pPr>
              <w:spacing w:line="300" w:lineRule="exact"/>
              <w:rPr>
                <w:rFonts w:hint="eastAsia" w:ascii="宋体" w:hAnsi="宋体" w:cs="宋体"/>
                <w:color w:val="000000"/>
                <w:kern w:val="0"/>
              </w:rPr>
            </w:pPr>
            <w:r>
              <w:rPr>
                <w:rFonts w:hint="eastAsia" w:ascii="宋体" w:hAnsi="宋体" w:cs="宋体"/>
                <w:color w:val="000000"/>
              </w:rPr>
              <w:t>1.查看系统对接情况。</w:t>
            </w:r>
          </w:p>
        </w:tc>
        <w:tc>
          <w:tcPr>
            <w:tcW w:w="584" w:type="pct"/>
            <w:noWrap w:val="0"/>
            <w:vAlign w:val="center"/>
          </w:tcPr>
          <w:p>
            <w:pPr>
              <w:widowControl/>
              <w:spacing w:line="300" w:lineRule="exact"/>
              <w:textAlignment w:val="top"/>
              <w:rPr>
                <w:rStyle w:val="5"/>
                <w:rFonts w:hAnsi="Calibri"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hAnsi="Calibri"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int="eastAsia"/>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2" w:hRule="atLeast"/>
          <w:jc w:val="center"/>
        </w:trPr>
        <w:tc>
          <w:tcPr>
            <w:tcW w:w="327" w:type="pct"/>
            <w:noWrap w:val="0"/>
            <w:vAlign w:val="center"/>
          </w:tcPr>
          <w:p>
            <w:pPr>
              <w:spacing w:line="300" w:lineRule="exact"/>
              <w:jc w:val="center"/>
              <w:rPr>
                <w:rFonts w:ascii="宋体" w:hAnsi="宋体" w:cs="宋体"/>
                <w:color w:val="000000"/>
                <w:highlight w:val="cyan"/>
              </w:rPr>
            </w:pPr>
            <w:r>
              <w:rPr>
                <w:rFonts w:hint="eastAsia" w:ascii="宋体" w:hAnsi="宋体" w:cs="宋体"/>
                <w:color w:val="000000"/>
              </w:rPr>
              <w:t>6</w:t>
            </w:r>
            <w:r>
              <w:rPr>
                <w:rFonts w:ascii="宋体" w:hAnsi="宋体" w:cs="宋体"/>
                <w:color w:val="000000"/>
              </w:rPr>
              <w:t>.1</w:t>
            </w:r>
          </w:p>
        </w:tc>
        <w:tc>
          <w:tcPr>
            <w:tcW w:w="1962" w:type="pct"/>
            <w:noWrap w:val="0"/>
            <w:vAlign w:val="center"/>
          </w:tcPr>
          <w:p>
            <w:pPr>
              <w:spacing w:line="300" w:lineRule="exact"/>
              <w:rPr>
                <w:rFonts w:hint="eastAsia" w:ascii="宋体" w:hAnsi="宋体" w:cs="宋体"/>
                <w:color w:val="000000"/>
                <w:kern w:val="0"/>
              </w:rPr>
            </w:pPr>
            <w:r>
              <w:rPr>
                <w:rFonts w:hint="eastAsia" w:ascii="宋体" w:hAnsi="宋体"/>
                <w:color w:val="000000"/>
              </w:rPr>
              <w:t>企业应当建立并记录覆盖第三方物流全过程的质量记录，记录内容应当真实、准确、完整和可追溯。应当至少包含以下内容：</w:t>
            </w:r>
          </w:p>
          <w:p>
            <w:pPr>
              <w:spacing w:line="300" w:lineRule="exact"/>
              <w:textAlignment w:val="top"/>
              <w:rPr>
                <w:rFonts w:ascii="宋体" w:hAnsi="宋体" w:cs="Times New Roman"/>
                <w:color w:val="000000"/>
                <w:kern w:val="0"/>
              </w:rPr>
            </w:pPr>
            <w:r>
              <w:rPr>
                <w:rFonts w:hint="eastAsia" w:ascii="宋体" w:hAnsi="宋体"/>
                <w:color w:val="000000"/>
              </w:rPr>
              <w:t>资质审核记录与基础数据。</w:t>
            </w:r>
            <w:r>
              <w:rPr>
                <w:rFonts w:hint="eastAsia" w:ascii="宋体" w:hAnsi="宋体" w:cs="宋体"/>
                <w:color w:val="000000"/>
                <w:kern w:val="0"/>
              </w:rPr>
              <w:t>委托企业及委托品种进行合法性审核后，形成计算机系统内的基础数据。应当包括委托企业名称、企业证照效期、生产经营范围、委托协议有效期；委托医疗器械名称、注册人、备案人和受托生产企业（若有）、型号、规格、医疗器械唯一标识（若有）、注册证编号或者备案编号、证照效期、医疗器械分类、运输及贮存条件等内容。</w:t>
            </w:r>
          </w:p>
        </w:tc>
        <w:tc>
          <w:tcPr>
            <w:tcW w:w="2127" w:type="pct"/>
            <w:noWrap w:val="0"/>
            <w:vAlign w:val="center"/>
          </w:tcPr>
          <w:p>
            <w:pPr>
              <w:spacing w:line="300" w:lineRule="exact"/>
              <w:rPr>
                <w:rFonts w:ascii="宋体" w:hAnsi="宋体" w:cs="Times New Roman"/>
                <w:color w:val="000000"/>
              </w:rPr>
            </w:pPr>
            <w:r>
              <w:rPr>
                <w:rFonts w:ascii="宋体" w:hAnsi="宋体" w:cs="宋体"/>
                <w:color w:val="000000"/>
              </w:rPr>
              <w:t>1.</w:t>
            </w:r>
            <w:r>
              <w:rPr>
                <w:rFonts w:hint="eastAsia" w:ascii="宋体" w:hAnsi="宋体" w:cs="宋体"/>
                <w:color w:val="000000"/>
              </w:rPr>
              <w:t>查看基础数据，确认相关内容。</w:t>
            </w:r>
          </w:p>
          <w:p>
            <w:pPr>
              <w:spacing w:line="300" w:lineRule="exact"/>
              <w:rPr>
                <w:rFonts w:ascii="宋体" w:hAnsi="宋体" w:cs="Times New Roman"/>
                <w:color w:val="000000"/>
              </w:rPr>
            </w:pPr>
          </w:p>
        </w:tc>
        <w:tc>
          <w:tcPr>
            <w:tcW w:w="584" w:type="pc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Fonts w:ascii="宋体" w:hAnsi="宋体" w:cs="Times New Roman"/>
                <w:color w:val="000000"/>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4" w:hRule="atLeast"/>
          <w:jc w:val="center"/>
        </w:trPr>
        <w:tc>
          <w:tcPr>
            <w:tcW w:w="327" w:type="pct"/>
            <w:noWrap w:val="0"/>
            <w:vAlign w:val="center"/>
          </w:tcPr>
          <w:p>
            <w:pPr>
              <w:spacing w:line="300" w:lineRule="exact"/>
              <w:jc w:val="center"/>
              <w:rPr>
                <w:rFonts w:ascii="宋体" w:hAnsi="宋体" w:cs="宋体"/>
                <w:color w:val="000000"/>
                <w:highlight w:val="cyan"/>
              </w:rPr>
            </w:pPr>
            <w:r>
              <w:rPr>
                <w:rFonts w:hint="eastAsia" w:ascii="宋体" w:hAnsi="宋体" w:cs="宋体"/>
                <w:color w:val="000000"/>
              </w:rPr>
              <w:t>6</w:t>
            </w:r>
            <w:r>
              <w:rPr>
                <w:rFonts w:ascii="宋体" w:hAnsi="宋体" w:cs="宋体"/>
                <w:color w:val="000000"/>
              </w:rPr>
              <w:t>.</w:t>
            </w:r>
            <w:r>
              <w:rPr>
                <w:rFonts w:hint="eastAsia" w:ascii="宋体" w:hAnsi="宋体" w:cs="宋体"/>
                <w:color w:val="000000"/>
              </w:rPr>
              <w:t>2</w:t>
            </w:r>
          </w:p>
        </w:tc>
        <w:tc>
          <w:tcPr>
            <w:tcW w:w="1962" w:type="pct"/>
            <w:noWrap w:val="0"/>
            <w:vAlign w:val="center"/>
          </w:tcPr>
          <w:p>
            <w:pPr>
              <w:spacing w:line="300" w:lineRule="exact"/>
              <w:rPr>
                <w:rFonts w:ascii="宋体" w:hAnsi="宋体" w:cs="Times New Roman"/>
                <w:color w:val="000000"/>
                <w:kern w:val="0"/>
              </w:rPr>
            </w:pPr>
            <w:r>
              <w:rPr>
                <w:rFonts w:hint="eastAsia" w:ascii="宋体" w:hAnsi="宋体" w:cs="宋体"/>
                <w:color w:val="000000"/>
                <w:kern w:val="0"/>
              </w:rPr>
              <w:t>医疗器械收货记录。依据委托方确认的收货指令收货，收货完成后生成收货记录，记录应当包括委托方的名称、收货日期、供货单位名称、包装单位、数量、物流单元代码（若有）、运输及贮存条件、收货人员姓名等内容。</w:t>
            </w:r>
          </w:p>
        </w:tc>
        <w:tc>
          <w:tcPr>
            <w:tcW w:w="2127" w:type="pct"/>
            <w:noWrap w:val="0"/>
            <w:vAlign w:val="center"/>
          </w:tcPr>
          <w:p>
            <w:pPr>
              <w:spacing w:line="300" w:lineRule="exact"/>
              <w:rPr>
                <w:rFonts w:ascii="宋体" w:hAnsi="宋体" w:cs="Times New Roman"/>
                <w:color w:val="000000"/>
              </w:rPr>
            </w:pPr>
            <w:r>
              <w:rPr>
                <w:rFonts w:ascii="宋体" w:hAnsi="宋体" w:cs="宋体"/>
                <w:color w:val="000000"/>
              </w:rPr>
              <w:t>1.</w:t>
            </w:r>
            <w:r>
              <w:rPr>
                <w:rFonts w:hint="eastAsia" w:ascii="宋体" w:hAnsi="宋体" w:cs="宋体"/>
                <w:color w:val="000000"/>
              </w:rPr>
              <w:t>查看收货记录，确认相关内容。</w:t>
            </w:r>
          </w:p>
        </w:tc>
        <w:tc>
          <w:tcPr>
            <w:tcW w:w="584" w:type="pc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Fonts w:ascii="宋体" w:hAnsi="宋体" w:cs="Times New Roman"/>
                <w:color w:val="000000"/>
              </w:rPr>
            </w:pPr>
            <w:r>
              <w:rPr>
                <w:rStyle w:val="5"/>
                <w:rFonts w:hint="eastAsia"/>
                <w:sz w:val="21"/>
                <w:szCs w:val="21"/>
              </w:rPr>
              <w:t>不符合规定</w:t>
            </w:r>
            <w:r>
              <w:rPr>
                <w:rStyle w:val="5"/>
                <w:sz w:val="21"/>
                <w:szCs w:val="21"/>
              </w:rPr>
              <w:t xml:space="preserve"> </w:t>
            </w: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9" w:hRule="atLeast"/>
          <w:jc w:val="center"/>
        </w:trPr>
        <w:tc>
          <w:tcPr>
            <w:tcW w:w="327" w:type="pct"/>
            <w:noWrap w:val="0"/>
            <w:vAlign w:val="center"/>
          </w:tcPr>
          <w:p>
            <w:pPr>
              <w:spacing w:line="300" w:lineRule="exact"/>
              <w:jc w:val="center"/>
              <w:rPr>
                <w:rFonts w:ascii="宋体" w:hAnsi="宋体" w:cs="宋体"/>
                <w:color w:val="000000"/>
                <w:highlight w:val="cyan"/>
              </w:rPr>
            </w:pPr>
            <w:r>
              <w:rPr>
                <w:rFonts w:hint="eastAsia" w:ascii="宋体" w:hAnsi="宋体" w:cs="宋体"/>
                <w:color w:val="000000"/>
              </w:rPr>
              <w:t>6</w:t>
            </w:r>
            <w:r>
              <w:rPr>
                <w:rFonts w:ascii="宋体" w:hAnsi="宋体" w:cs="宋体"/>
                <w:color w:val="000000"/>
              </w:rPr>
              <w:t>.</w:t>
            </w:r>
            <w:r>
              <w:rPr>
                <w:rFonts w:hint="eastAsia" w:ascii="宋体" w:hAnsi="宋体" w:cs="宋体"/>
                <w:color w:val="000000"/>
              </w:rPr>
              <w:t>3</w:t>
            </w:r>
          </w:p>
        </w:tc>
        <w:tc>
          <w:tcPr>
            <w:tcW w:w="1962" w:type="pct"/>
            <w:noWrap w:val="0"/>
            <w:vAlign w:val="center"/>
          </w:tcPr>
          <w:p>
            <w:pPr>
              <w:spacing w:line="300" w:lineRule="exact"/>
              <w:rPr>
                <w:rFonts w:hint="eastAsia" w:ascii="宋体" w:hAnsi="宋体" w:cs="宋体"/>
                <w:color w:val="000000"/>
                <w:kern w:val="0"/>
              </w:rPr>
            </w:pPr>
            <w:r>
              <w:rPr>
                <w:rFonts w:hint="eastAsia" w:ascii="宋体" w:hAnsi="宋体" w:cs="宋体"/>
                <w:color w:val="000000"/>
                <w:kern w:val="0"/>
              </w:rPr>
              <w:t>医疗器械进货查验记录。依据双方确认的验收标准，对医疗器械进行验收，留存供货单位随货同行单，根据验收结果生成进货查验记录，记录应当包括：</w:t>
            </w:r>
          </w:p>
          <w:p>
            <w:pPr>
              <w:spacing w:line="300" w:lineRule="exact"/>
              <w:rPr>
                <w:rFonts w:hint="eastAsia" w:ascii="宋体" w:hAnsi="宋体" w:cs="宋体"/>
                <w:color w:val="000000"/>
                <w:kern w:val="0"/>
              </w:rPr>
            </w:pPr>
            <w:r>
              <w:rPr>
                <w:rFonts w:hint="eastAsia" w:ascii="宋体" w:hAnsi="宋体" w:cs="宋体"/>
                <w:color w:val="000000"/>
                <w:kern w:val="0"/>
              </w:rPr>
              <w:t>1.医疗器械的名称、型号、规格、数量；</w:t>
            </w:r>
          </w:p>
          <w:p>
            <w:pPr>
              <w:spacing w:line="300" w:lineRule="exact"/>
              <w:rPr>
                <w:rFonts w:hint="eastAsia" w:ascii="宋体" w:hAnsi="宋体" w:cs="宋体"/>
                <w:color w:val="000000"/>
                <w:kern w:val="0"/>
              </w:rPr>
            </w:pPr>
            <w:r>
              <w:rPr>
                <w:rFonts w:hint="eastAsia" w:ascii="宋体" w:hAnsi="宋体" w:cs="宋体"/>
                <w:color w:val="000000"/>
                <w:kern w:val="0"/>
              </w:rPr>
              <w:t>2.医疗器械注册证编号或者备案编号；</w:t>
            </w:r>
          </w:p>
          <w:p>
            <w:pPr>
              <w:spacing w:line="300" w:lineRule="exact"/>
              <w:rPr>
                <w:rFonts w:hint="eastAsia" w:ascii="宋体" w:hAnsi="宋体" w:cs="宋体"/>
                <w:color w:val="000000"/>
                <w:kern w:val="0"/>
              </w:rPr>
            </w:pPr>
            <w:r>
              <w:rPr>
                <w:rFonts w:hint="eastAsia" w:ascii="宋体" w:hAnsi="宋体" w:cs="宋体"/>
                <w:color w:val="000000"/>
                <w:kern w:val="0"/>
              </w:rPr>
              <w:t>3.注册人、备案人和受托生产企业（若有）、生产许可证号或者备案编号；</w:t>
            </w:r>
          </w:p>
          <w:p>
            <w:pPr>
              <w:spacing w:line="300" w:lineRule="exact"/>
              <w:rPr>
                <w:rFonts w:hint="eastAsia" w:ascii="宋体" w:hAnsi="宋体" w:cs="宋体"/>
                <w:color w:val="000000"/>
                <w:kern w:val="0"/>
              </w:rPr>
            </w:pPr>
            <w:r>
              <w:rPr>
                <w:rFonts w:hint="eastAsia" w:ascii="宋体" w:hAnsi="宋体" w:cs="宋体"/>
                <w:color w:val="000000"/>
                <w:kern w:val="0"/>
              </w:rPr>
              <w:t>4.医疗器械的生产批号或者序列号、使用期限或者失效日期、验收日期等；</w:t>
            </w:r>
          </w:p>
          <w:p>
            <w:pPr>
              <w:spacing w:line="300" w:lineRule="exact"/>
              <w:rPr>
                <w:rFonts w:hint="eastAsia" w:ascii="宋体" w:hAnsi="宋体" w:cs="宋体"/>
                <w:color w:val="000000"/>
                <w:kern w:val="0"/>
              </w:rPr>
            </w:pPr>
            <w:r>
              <w:rPr>
                <w:rFonts w:hint="eastAsia" w:ascii="宋体" w:hAnsi="宋体" w:cs="宋体"/>
                <w:color w:val="000000"/>
                <w:kern w:val="0"/>
              </w:rPr>
              <w:t>5.委托方的名称以及联系方式，供货者名称；</w:t>
            </w:r>
          </w:p>
          <w:p>
            <w:pPr>
              <w:spacing w:line="300" w:lineRule="exact"/>
              <w:rPr>
                <w:rFonts w:hint="eastAsia" w:ascii="宋体" w:hAnsi="宋体" w:cs="宋体"/>
                <w:color w:val="000000"/>
                <w:kern w:val="0"/>
              </w:rPr>
            </w:pPr>
            <w:r>
              <w:rPr>
                <w:rFonts w:hint="eastAsia" w:ascii="宋体" w:hAnsi="宋体" w:cs="宋体"/>
                <w:color w:val="000000"/>
                <w:kern w:val="0"/>
              </w:rPr>
              <w:t>6.运输条件、贮存条件；</w:t>
            </w:r>
          </w:p>
          <w:p>
            <w:pPr>
              <w:spacing w:line="300" w:lineRule="exact"/>
              <w:rPr>
                <w:rFonts w:hint="eastAsia" w:ascii="宋体" w:hAnsi="宋体" w:cs="宋体"/>
                <w:color w:val="000000"/>
                <w:kern w:val="0"/>
              </w:rPr>
            </w:pPr>
            <w:r>
              <w:rPr>
                <w:rFonts w:hint="eastAsia" w:ascii="宋体" w:hAnsi="宋体" w:cs="宋体"/>
                <w:color w:val="000000"/>
                <w:kern w:val="0"/>
              </w:rPr>
              <w:t>7.验收结论，验收合格数量，验收人员姓名等内容；</w:t>
            </w:r>
          </w:p>
          <w:p>
            <w:pPr>
              <w:spacing w:line="300" w:lineRule="exact"/>
              <w:rPr>
                <w:rFonts w:ascii="宋体" w:hAnsi="宋体" w:cs="Times New Roman"/>
                <w:color w:val="000000"/>
              </w:rPr>
            </w:pPr>
            <w:r>
              <w:rPr>
                <w:rFonts w:hint="eastAsia" w:ascii="宋体" w:hAnsi="宋体" w:cs="宋体"/>
                <w:color w:val="000000"/>
                <w:kern w:val="0"/>
              </w:rPr>
              <w:t>8.医疗器械唯一标识（若有）。</w:t>
            </w:r>
          </w:p>
        </w:tc>
        <w:tc>
          <w:tcPr>
            <w:tcW w:w="2127" w:type="pct"/>
            <w:noWrap w:val="0"/>
            <w:vAlign w:val="center"/>
          </w:tcPr>
          <w:p>
            <w:pPr>
              <w:spacing w:line="300" w:lineRule="exact"/>
              <w:rPr>
                <w:rFonts w:hint="eastAsia" w:ascii="宋体" w:hAnsi="宋体" w:cs="宋体"/>
                <w:color w:val="000000"/>
              </w:rPr>
            </w:pPr>
            <w:r>
              <w:rPr>
                <w:rFonts w:ascii="宋体" w:hAnsi="宋体" w:cs="宋体"/>
                <w:color w:val="000000"/>
              </w:rPr>
              <w:t>1.</w:t>
            </w:r>
            <w:r>
              <w:rPr>
                <w:rFonts w:hint="eastAsia" w:ascii="宋体" w:hAnsi="宋体" w:cs="宋体"/>
                <w:color w:val="000000"/>
              </w:rPr>
              <w:t>查看查验记录，确认相关内容。</w:t>
            </w:r>
          </w:p>
          <w:p>
            <w:pPr>
              <w:spacing w:line="300" w:lineRule="exact"/>
              <w:rPr>
                <w:rFonts w:ascii="宋体" w:hAnsi="宋体" w:cs="宋体"/>
                <w:color w:val="000000"/>
              </w:rPr>
            </w:pPr>
            <w:r>
              <w:rPr>
                <w:rFonts w:hint="eastAsia" w:ascii="宋体" w:hAnsi="宋体" w:cs="宋体"/>
                <w:color w:val="000000"/>
              </w:rPr>
              <w:t>2.如委托方留存随货同行单原件，供货企业应增加一联随货同行单。</w:t>
            </w:r>
          </w:p>
          <w:p>
            <w:pPr>
              <w:spacing w:line="300" w:lineRule="exact"/>
              <w:rPr>
                <w:rFonts w:ascii="宋体" w:hAnsi="宋体" w:cs="Times New Roman"/>
                <w:color w:val="000000"/>
              </w:rPr>
            </w:pPr>
            <w:r>
              <w:rPr>
                <w:rFonts w:hint="eastAsia" w:ascii="宋体" w:hAnsi="宋体" w:cs="宋体"/>
                <w:b/>
                <w:color w:val="000000"/>
              </w:rPr>
              <w:t>备注：</w:t>
            </w:r>
            <w:r>
              <w:rPr>
                <w:rFonts w:hint="eastAsia" w:ascii="宋体" w:hAnsi="宋体" w:cs="宋体"/>
                <w:color w:val="000000"/>
              </w:rPr>
              <w:t>1.验收不合格的还要注明不合格事项及处置措施。</w:t>
            </w:r>
          </w:p>
        </w:tc>
        <w:tc>
          <w:tcPr>
            <w:tcW w:w="584" w:type="pc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Fonts w:ascii="宋体" w:hAnsi="宋体" w:cs="Times New Roman"/>
                <w:color w:val="000000"/>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0" w:hRule="atLeast"/>
          <w:jc w:val="center"/>
        </w:trPr>
        <w:tc>
          <w:tcPr>
            <w:tcW w:w="327" w:type="pct"/>
            <w:noWrap w:val="0"/>
            <w:vAlign w:val="center"/>
          </w:tcPr>
          <w:p>
            <w:pPr>
              <w:spacing w:line="300" w:lineRule="exact"/>
              <w:jc w:val="center"/>
              <w:rPr>
                <w:rFonts w:hint="eastAsia" w:ascii="宋体" w:hAnsi="宋体" w:cs="宋体"/>
                <w:color w:val="000000"/>
              </w:rPr>
            </w:pPr>
            <w:r>
              <w:rPr>
                <w:rFonts w:hint="eastAsia" w:ascii="宋体" w:hAnsi="宋体" w:cs="宋体"/>
                <w:color w:val="000000"/>
              </w:rPr>
              <w:t>6.4</w:t>
            </w:r>
          </w:p>
        </w:tc>
        <w:tc>
          <w:tcPr>
            <w:tcW w:w="1962" w:type="pct"/>
            <w:noWrap w:val="0"/>
            <w:vAlign w:val="center"/>
          </w:tcPr>
          <w:p>
            <w:pPr>
              <w:spacing w:line="300" w:lineRule="exact"/>
              <w:rPr>
                <w:rFonts w:hint="eastAsia" w:ascii="宋体" w:hAnsi="宋体" w:cs="宋体"/>
                <w:color w:val="000000"/>
                <w:kern w:val="0"/>
              </w:rPr>
            </w:pPr>
            <w:r>
              <w:rPr>
                <w:rFonts w:hint="eastAsia" w:ascii="宋体" w:hAnsi="宋体" w:cs="宋体"/>
                <w:color w:val="000000"/>
                <w:kern w:val="0"/>
              </w:rPr>
              <w:t>医疗器械在库检查记录。依据医疗器械在库贮存的质量管理要求对贮存的医疗器械进行定期检查，根据检查结果形成在库检查记录，记录应当包括:委托方名称，委托企业名称、注册人、备案人和受托生产企业名称( 若有），医疗器械名称、注册证编号或者备案编号、型号、规格、生产批号或者序列号，以及产品放置库区及货位、贮存环境、使用期限或者失效日期、产品标签、外包装等可能影响产品质量状况的检查结果，检查日期、检查人员姓名等内容。</w:t>
            </w:r>
          </w:p>
        </w:tc>
        <w:tc>
          <w:tcPr>
            <w:tcW w:w="2127" w:type="pct"/>
            <w:noWrap w:val="0"/>
            <w:vAlign w:val="center"/>
          </w:tcPr>
          <w:p>
            <w:pPr>
              <w:spacing w:line="300" w:lineRule="exact"/>
              <w:rPr>
                <w:rFonts w:ascii="宋体" w:hAnsi="宋体" w:cs="宋体"/>
                <w:color w:val="000000"/>
              </w:rPr>
            </w:pPr>
            <w:r>
              <w:rPr>
                <w:rFonts w:ascii="宋体" w:hAnsi="宋体" w:cs="宋体"/>
                <w:color w:val="000000"/>
              </w:rPr>
              <w:t>1.</w:t>
            </w:r>
            <w:r>
              <w:rPr>
                <w:rFonts w:hint="eastAsia" w:ascii="宋体" w:hAnsi="宋体" w:cs="宋体"/>
                <w:color w:val="000000"/>
              </w:rPr>
              <w:t>查看在库检查记录，确认相关内容。</w:t>
            </w:r>
          </w:p>
        </w:tc>
        <w:tc>
          <w:tcPr>
            <w:tcW w:w="584" w:type="pc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int="eastAsia"/>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5" w:hRule="atLeast"/>
          <w:jc w:val="center"/>
        </w:trPr>
        <w:tc>
          <w:tcPr>
            <w:tcW w:w="327" w:type="pct"/>
            <w:noWrap w:val="0"/>
            <w:vAlign w:val="center"/>
          </w:tcPr>
          <w:p>
            <w:pPr>
              <w:spacing w:line="300" w:lineRule="exact"/>
              <w:jc w:val="center"/>
              <w:rPr>
                <w:rFonts w:hint="eastAsia" w:ascii="宋体" w:hAnsi="宋体" w:cs="宋体"/>
                <w:color w:val="000000"/>
              </w:rPr>
            </w:pPr>
            <w:r>
              <w:rPr>
                <w:rFonts w:hint="eastAsia" w:ascii="宋体" w:hAnsi="宋体" w:cs="宋体"/>
                <w:color w:val="000000"/>
              </w:rPr>
              <w:t>6.5</w:t>
            </w:r>
          </w:p>
        </w:tc>
        <w:tc>
          <w:tcPr>
            <w:tcW w:w="1962" w:type="pct"/>
            <w:noWrap w:val="0"/>
            <w:vAlign w:val="center"/>
          </w:tcPr>
          <w:p>
            <w:pPr>
              <w:spacing w:line="300" w:lineRule="exact"/>
              <w:rPr>
                <w:rFonts w:hint="eastAsia" w:ascii="宋体" w:hAnsi="宋体" w:cs="宋体"/>
                <w:color w:val="000000"/>
                <w:kern w:val="0"/>
              </w:rPr>
            </w:pPr>
            <w:r>
              <w:rPr>
                <w:rFonts w:hint="eastAsia" w:ascii="宋体" w:hAnsi="宋体" w:cs="宋体"/>
                <w:color w:val="000000"/>
                <w:kern w:val="0"/>
              </w:rPr>
              <w:t>医疗器械复核记录和发货记录。依据委托方确认的发货指令，进行拣选、复核。形成出库复核记录，至少包括复核日期，委托企业名称，注册人、备案人和受托生产企业（若有），医疗器械名称、注册证编号或者备案编号、型号、规格、运输及贮存条件、生产批号或者序列号、灭菌批号（若有）、使用期限或者失效日期、医疗器械唯一标识（若有）、复核数量、复核质量状况、复核人员姓名等内容；</w:t>
            </w:r>
          </w:p>
          <w:p>
            <w:pPr>
              <w:spacing w:line="300" w:lineRule="exact"/>
              <w:rPr>
                <w:rFonts w:hint="eastAsia" w:ascii="宋体" w:hAnsi="宋体" w:cs="宋体"/>
                <w:color w:val="000000"/>
                <w:kern w:val="0"/>
              </w:rPr>
            </w:pPr>
            <w:r>
              <w:rPr>
                <w:rFonts w:hint="eastAsia" w:ascii="宋体" w:hAnsi="宋体" w:cs="宋体"/>
                <w:color w:val="000000"/>
                <w:kern w:val="0"/>
              </w:rPr>
              <w:t>发货记录，至少包括委托方名称、委托企业名称，注册人、备案人和受托生产企业（若有），医疗器械名称、型号、规格、运输条件、注册证编号或者备案编号、生产批号或者序列号、使用期限或者失效日期、医疗器械唯一标识（若有）、发货数量、收货单位、收货地址等内容；并提供符合《医疗器械经营质量管理规范》要求的随货同行单。</w:t>
            </w:r>
          </w:p>
        </w:tc>
        <w:tc>
          <w:tcPr>
            <w:tcW w:w="2127" w:type="pct"/>
            <w:noWrap w:val="0"/>
            <w:vAlign w:val="center"/>
          </w:tcPr>
          <w:p>
            <w:pPr>
              <w:spacing w:line="300" w:lineRule="exact"/>
              <w:rPr>
                <w:rFonts w:ascii="宋体" w:hAnsi="宋体" w:cs="宋体"/>
                <w:color w:val="000000"/>
              </w:rPr>
            </w:pPr>
            <w:r>
              <w:rPr>
                <w:rFonts w:ascii="宋体" w:hAnsi="宋体" w:cs="宋体"/>
                <w:color w:val="000000"/>
              </w:rPr>
              <w:t>1.</w:t>
            </w:r>
            <w:r>
              <w:rPr>
                <w:rFonts w:hint="eastAsia" w:ascii="宋体" w:hAnsi="宋体" w:cs="宋体"/>
                <w:color w:val="000000"/>
              </w:rPr>
              <w:t>查看复核记录和发货记录，确认相关内容。</w:t>
            </w:r>
          </w:p>
        </w:tc>
        <w:tc>
          <w:tcPr>
            <w:tcW w:w="584" w:type="pc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int="eastAsia"/>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5" w:hRule="atLeast"/>
          <w:jc w:val="center"/>
        </w:trPr>
        <w:tc>
          <w:tcPr>
            <w:tcW w:w="327" w:type="pct"/>
            <w:noWrap w:val="0"/>
            <w:vAlign w:val="center"/>
          </w:tcPr>
          <w:p>
            <w:pPr>
              <w:spacing w:line="300" w:lineRule="exact"/>
              <w:jc w:val="center"/>
              <w:rPr>
                <w:rFonts w:hint="eastAsia" w:ascii="宋体" w:hAnsi="宋体" w:cs="宋体"/>
                <w:color w:val="000000"/>
              </w:rPr>
            </w:pPr>
            <w:r>
              <w:rPr>
                <w:rFonts w:hint="eastAsia" w:ascii="宋体" w:hAnsi="宋体" w:cs="宋体"/>
                <w:color w:val="000000"/>
              </w:rPr>
              <w:t>6.6</w:t>
            </w:r>
          </w:p>
        </w:tc>
        <w:tc>
          <w:tcPr>
            <w:tcW w:w="1962" w:type="pct"/>
            <w:noWrap w:val="0"/>
            <w:vAlign w:val="center"/>
          </w:tcPr>
          <w:p>
            <w:pPr>
              <w:spacing w:line="300" w:lineRule="exact"/>
              <w:rPr>
                <w:rFonts w:ascii="宋体" w:hAnsi="宋体" w:cs="宋体"/>
                <w:color w:val="000000"/>
                <w:kern w:val="0"/>
              </w:rPr>
            </w:pPr>
            <w:r>
              <w:rPr>
                <w:rFonts w:hint="eastAsia" w:ascii="宋体" w:hAnsi="宋体" w:cs="宋体"/>
                <w:color w:val="000000"/>
                <w:kern w:val="0"/>
              </w:rPr>
              <w:t>医疗器械运输记录。委托方从事医疗器械批发业务的，依据运输指令运输至收货单位，记录应当包括：委托方名称、随货同行单号、运输方式、承运单位、收货单位、收货地址、医疗器械名称、注册证编号或备案编号、型号、规格、生产批号或者序列号、医疗器械唯一标识（若有）、数量、运输及贮存条件、发货时间和到货时间、车牌号、运输人员姓名等内容。</w:t>
            </w:r>
          </w:p>
          <w:p>
            <w:pPr>
              <w:spacing w:line="300" w:lineRule="exact"/>
              <w:rPr>
                <w:rFonts w:hint="eastAsia" w:ascii="宋体" w:hAnsi="宋体" w:cs="宋体"/>
                <w:color w:val="000000"/>
                <w:kern w:val="0"/>
              </w:rPr>
            </w:pPr>
            <w:r>
              <w:rPr>
                <w:rFonts w:hint="eastAsia" w:ascii="宋体" w:hAnsi="宋体" w:cs="宋体"/>
                <w:color w:val="000000"/>
              </w:rPr>
              <w:t>委托其他单位运输的</w:t>
            </w:r>
            <w:r>
              <w:rPr>
                <w:rFonts w:hint="eastAsia" w:ascii="宋体" w:hAnsi="宋体" w:cs="宋体"/>
                <w:color w:val="000000"/>
                <w:kern w:val="0"/>
              </w:rPr>
              <w:t>，应当记录运输单号。自行运输时还应记录运输车辆车牌号和运输人员。</w:t>
            </w:r>
          </w:p>
        </w:tc>
        <w:tc>
          <w:tcPr>
            <w:tcW w:w="2127" w:type="pct"/>
            <w:noWrap w:val="0"/>
            <w:vAlign w:val="center"/>
          </w:tcPr>
          <w:p>
            <w:pPr>
              <w:spacing w:line="300" w:lineRule="exact"/>
              <w:rPr>
                <w:rFonts w:ascii="宋体" w:hAnsi="宋体" w:cs="宋体"/>
                <w:color w:val="000000"/>
              </w:rPr>
            </w:pPr>
            <w:r>
              <w:rPr>
                <w:rFonts w:ascii="宋体" w:hAnsi="宋体" w:cs="宋体"/>
                <w:color w:val="000000"/>
              </w:rPr>
              <w:t>1.</w:t>
            </w:r>
            <w:r>
              <w:rPr>
                <w:rFonts w:hint="eastAsia" w:ascii="宋体" w:hAnsi="宋体" w:cs="宋体"/>
                <w:color w:val="000000"/>
              </w:rPr>
              <w:t>查看运输记录，确认相关内容。</w:t>
            </w:r>
          </w:p>
        </w:tc>
        <w:tc>
          <w:tcPr>
            <w:tcW w:w="584" w:type="pc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int="eastAsia"/>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7" w:type="pct"/>
            <w:noWrap w:val="0"/>
            <w:vAlign w:val="center"/>
          </w:tcPr>
          <w:p>
            <w:pPr>
              <w:spacing w:line="300" w:lineRule="exact"/>
              <w:jc w:val="center"/>
              <w:rPr>
                <w:rFonts w:hint="eastAsia" w:ascii="宋体" w:hAnsi="宋体" w:cs="宋体"/>
                <w:color w:val="000000"/>
              </w:rPr>
            </w:pPr>
            <w:r>
              <w:rPr>
                <w:rFonts w:hint="eastAsia" w:ascii="宋体" w:hAnsi="宋体" w:cs="宋体"/>
                <w:color w:val="000000"/>
              </w:rPr>
              <w:t>6.7</w:t>
            </w:r>
          </w:p>
        </w:tc>
        <w:tc>
          <w:tcPr>
            <w:tcW w:w="1962" w:type="pct"/>
            <w:noWrap w:val="0"/>
            <w:vAlign w:val="center"/>
          </w:tcPr>
          <w:p>
            <w:pPr>
              <w:spacing w:line="300" w:lineRule="exact"/>
              <w:rPr>
                <w:rFonts w:hint="eastAsia" w:ascii="宋体" w:hAnsi="宋体" w:cs="宋体"/>
                <w:color w:val="000000"/>
                <w:kern w:val="0"/>
              </w:rPr>
            </w:pPr>
            <w:r>
              <w:rPr>
                <w:rFonts w:hint="eastAsia" w:ascii="宋体" w:hAnsi="宋体" w:cs="宋体"/>
                <w:color w:val="000000"/>
                <w:kern w:val="0"/>
              </w:rPr>
              <w:t>医疗器械退货记录，依据委托方确认的退货指令接收退回产品，收货检查完成后生成退货记录，记录应当包括：退货日期、退货单位名称、委托企业名称，注册人、备案人和受托生产企业（若有），医疗器械名称、型号、规格、运输及贮存条件、注册证编号或者备案编号、生产批号或者序列号、灭菌批号（若有）、使用期限或者失效日期、医疗器械唯一标识（若有）、产品质量状态、退货原因、退货数量、退货收货检查人员姓名等内容。</w:t>
            </w:r>
          </w:p>
        </w:tc>
        <w:tc>
          <w:tcPr>
            <w:tcW w:w="2127" w:type="pct"/>
            <w:noWrap w:val="0"/>
            <w:vAlign w:val="center"/>
          </w:tcPr>
          <w:p>
            <w:pPr>
              <w:spacing w:line="300" w:lineRule="exact"/>
              <w:rPr>
                <w:rFonts w:ascii="宋体" w:hAnsi="宋体" w:cs="宋体"/>
                <w:color w:val="000000"/>
              </w:rPr>
            </w:pPr>
            <w:r>
              <w:rPr>
                <w:rFonts w:ascii="宋体" w:hAnsi="宋体" w:cs="宋体"/>
                <w:color w:val="000000"/>
              </w:rPr>
              <w:t>1.</w:t>
            </w:r>
            <w:r>
              <w:rPr>
                <w:rFonts w:hint="eastAsia" w:ascii="宋体" w:hAnsi="宋体" w:cs="宋体"/>
                <w:color w:val="000000"/>
              </w:rPr>
              <w:t>查看退货记录，确认相关内容。</w:t>
            </w:r>
          </w:p>
        </w:tc>
        <w:tc>
          <w:tcPr>
            <w:tcW w:w="584" w:type="pc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int="eastAsia"/>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7" w:type="pct"/>
            <w:noWrap w:val="0"/>
            <w:vAlign w:val="center"/>
          </w:tcPr>
          <w:p>
            <w:pPr>
              <w:spacing w:line="300" w:lineRule="exact"/>
              <w:jc w:val="center"/>
              <w:rPr>
                <w:rFonts w:hint="eastAsia" w:ascii="宋体" w:hAnsi="宋体" w:cs="宋体"/>
                <w:color w:val="000000"/>
              </w:rPr>
            </w:pPr>
            <w:r>
              <w:rPr>
                <w:rFonts w:hint="eastAsia" w:ascii="宋体" w:hAnsi="宋体" w:cs="宋体"/>
                <w:color w:val="000000"/>
              </w:rPr>
              <w:t>6.8</w:t>
            </w:r>
          </w:p>
        </w:tc>
        <w:tc>
          <w:tcPr>
            <w:tcW w:w="1962" w:type="pct"/>
            <w:noWrap w:val="0"/>
            <w:vAlign w:val="center"/>
          </w:tcPr>
          <w:p>
            <w:pPr>
              <w:spacing w:line="300" w:lineRule="exact"/>
              <w:rPr>
                <w:rFonts w:hint="eastAsia" w:ascii="宋体" w:hAnsi="宋体" w:cs="宋体"/>
                <w:color w:val="000000"/>
                <w:kern w:val="0"/>
              </w:rPr>
            </w:pPr>
            <w:r>
              <w:rPr>
                <w:rFonts w:hint="eastAsia" w:ascii="宋体" w:hAnsi="宋体" w:cs="宋体"/>
                <w:color w:val="000000"/>
                <w:kern w:val="0"/>
              </w:rPr>
              <w:t>库房温湿度监测记录。</w:t>
            </w:r>
          </w:p>
        </w:tc>
        <w:tc>
          <w:tcPr>
            <w:tcW w:w="2127" w:type="pct"/>
            <w:noWrap w:val="0"/>
            <w:vAlign w:val="center"/>
          </w:tcPr>
          <w:p>
            <w:pPr>
              <w:spacing w:line="300" w:lineRule="exact"/>
              <w:rPr>
                <w:rFonts w:ascii="宋体" w:hAnsi="宋体" w:cs="宋体"/>
                <w:color w:val="000000"/>
              </w:rPr>
            </w:pPr>
            <w:r>
              <w:rPr>
                <w:rFonts w:ascii="宋体" w:hAnsi="宋体" w:cs="宋体"/>
                <w:color w:val="000000"/>
              </w:rPr>
              <w:t>1.</w:t>
            </w:r>
            <w:r>
              <w:rPr>
                <w:rFonts w:hint="eastAsia" w:ascii="宋体" w:hAnsi="宋体" w:cs="宋体"/>
                <w:color w:val="000000"/>
              </w:rPr>
              <w:t>查看库房温湿度监测记录，确认相关内容（至少包括检测时间点、库区、温湿度控制范围等）。</w:t>
            </w:r>
          </w:p>
        </w:tc>
        <w:tc>
          <w:tcPr>
            <w:tcW w:w="584" w:type="pc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int="eastAsia"/>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7" w:type="pct"/>
            <w:noWrap w:val="0"/>
            <w:vAlign w:val="center"/>
          </w:tcPr>
          <w:p>
            <w:pPr>
              <w:spacing w:line="300" w:lineRule="exact"/>
              <w:rPr>
                <w:rFonts w:hint="eastAsia" w:ascii="宋体" w:hAnsi="宋体" w:cs="宋体"/>
                <w:color w:val="000000"/>
              </w:rPr>
            </w:pPr>
            <w:r>
              <w:rPr>
                <w:rFonts w:hint="eastAsia" w:ascii="宋体" w:hAnsi="宋体" w:cs="宋体"/>
                <w:color w:val="000000"/>
              </w:rPr>
              <w:t>6.9</w:t>
            </w:r>
          </w:p>
        </w:tc>
        <w:tc>
          <w:tcPr>
            <w:tcW w:w="1962" w:type="pct"/>
            <w:noWrap w:val="0"/>
            <w:vAlign w:val="center"/>
          </w:tcPr>
          <w:p>
            <w:pPr>
              <w:spacing w:line="300" w:lineRule="exact"/>
              <w:rPr>
                <w:rFonts w:ascii="宋体" w:hAnsi="宋体" w:cs="宋体"/>
                <w:color w:val="000000"/>
                <w:kern w:val="0"/>
              </w:rPr>
            </w:pPr>
            <w:r>
              <w:rPr>
                <w:rFonts w:hint="eastAsia" w:ascii="宋体" w:hAnsi="宋体" w:cs="宋体"/>
                <w:color w:val="000000"/>
              </w:rPr>
              <w:t>异常情况处置及不合格医疗器械以及存在质量安全隐患医疗器械的处理记录。</w:t>
            </w:r>
          </w:p>
        </w:tc>
        <w:tc>
          <w:tcPr>
            <w:tcW w:w="2127" w:type="pct"/>
            <w:noWrap w:val="0"/>
            <w:vAlign w:val="center"/>
          </w:tcPr>
          <w:p>
            <w:pPr>
              <w:numPr>
                <w:ilvl w:val="0"/>
                <w:numId w:val="4"/>
              </w:numPr>
              <w:spacing w:line="300" w:lineRule="exact"/>
              <w:rPr>
                <w:rFonts w:hint="eastAsia" w:ascii="宋体" w:hAnsi="宋体" w:cs="宋体"/>
                <w:color w:val="000000"/>
              </w:rPr>
            </w:pPr>
            <w:r>
              <w:rPr>
                <w:rFonts w:hint="eastAsia" w:ascii="宋体" w:hAnsi="宋体" w:cs="宋体"/>
                <w:color w:val="000000"/>
              </w:rPr>
              <w:t>查看相关处置记录</w:t>
            </w:r>
            <w:r>
              <w:rPr>
                <w:rFonts w:hint="eastAsia" w:ascii="宋体" w:hAnsi="宋体" w:cs="宋体"/>
                <w:color w:val="000000"/>
                <w:kern w:val="0"/>
              </w:rPr>
              <w:t>、处理记录</w:t>
            </w:r>
            <w:r>
              <w:rPr>
                <w:rFonts w:hint="eastAsia" w:ascii="宋体" w:hAnsi="宋体" w:cs="宋体"/>
                <w:color w:val="000000"/>
              </w:rPr>
              <w:t>，确认相关内容。</w:t>
            </w:r>
          </w:p>
        </w:tc>
        <w:tc>
          <w:tcPr>
            <w:tcW w:w="584" w:type="pc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int="eastAsia"/>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7" w:type="pct"/>
            <w:noWrap w:val="0"/>
            <w:vAlign w:val="center"/>
          </w:tcPr>
          <w:p>
            <w:pPr>
              <w:spacing w:line="300" w:lineRule="exact"/>
              <w:jc w:val="center"/>
              <w:rPr>
                <w:rFonts w:hint="eastAsia" w:ascii="宋体" w:hAnsi="宋体" w:cs="宋体"/>
                <w:color w:val="000000"/>
              </w:rPr>
            </w:pPr>
            <w:r>
              <w:rPr>
                <w:rFonts w:hint="eastAsia" w:ascii="宋体" w:hAnsi="宋体" w:cs="宋体"/>
                <w:color w:val="000000"/>
              </w:rPr>
              <w:t>7.1</w:t>
            </w:r>
          </w:p>
        </w:tc>
        <w:tc>
          <w:tcPr>
            <w:tcW w:w="1962" w:type="pct"/>
            <w:noWrap w:val="0"/>
            <w:vAlign w:val="center"/>
          </w:tcPr>
          <w:p>
            <w:pPr>
              <w:widowControl/>
              <w:spacing w:line="300" w:lineRule="exact"/>
              <w:textAlignment w:val="top"/>
              <w:rPr>
                <w:rFonts w:hint="eastAsia" w:ascii="宋体" w:hAnsi="宋体" w:cs="宋体"/>
                <w:color w:val="000000"/>
              </w:rPr>
            </w:pPr>
            <w:r>
              <w:rPr>
                <w:rFonts w:hint="eastAsia" w:ascii="宋体" w:hAnsi="宋体" w:cs="宋体"/>
                <w:color w:val="000000"/>
                <w:lang w:val="en"/>
              </w:rPr>
              <w:t>企业可委托其他具备质量保障能力的承运单位运输医疗器械，签订质量保证书面协议，包含明确运输过程中的质量责任、遵守运输操作规程和在途时限、温湿度控制、货到签收、回执返回等内容。委托方或者第三方物流服务的企业应当定期对承运单位运输医疗器械的质量保障能力进行考核评估，确保运输过程的质量安全。</w:t>
            </w:r>
          </w:p>
        </w:tc>
        <w:tc>
          <w:tcPr>
            <w:tcW w:w="2127" w:type="pct"/>
            <w:noWrap w:val="0"/>
            <w:vAlign w:val="center"/>
          </w:tcPr>
          <w:p>
            <w:pPr>
              <w:widowControl/>
              <w:numPr>
                <w:ilvl w:val="0"/>
                <w:numId w:val="5"/>
              </w:numPr>
              <w:spacing w:line="300" w:lineRule="exact"/>
              <w:textAlignment w:val="top"/>
              <w:rPr>
                <w:rFonts w:hint="eastAsia" w:ascii="宋体" w:hAnsi="宋体" w:cs="宋体"/>
                <w:color w:val="000000"/>
              </w:rPr>
            </w:pPr>
            <w:r>
              <w:rPr>
                <w:rFonts w:hint="eastAsia" w:ascii="宋体" w:hAnsi="宋体" w:cs="宋体"/>
                <w:color w:val="000000"/>
              </w:rPr>
              <w:t>查看委托协议、质量保证协议，</w:t>
            </w:r>
            <w:r>
              <w:rPr>
                <w:rFonts w:hint="eastAsia" w:ascii="宋体" w:hAnsi="宋体"/>
                <w:color w:val="000000"/>
                <w:kern w:val="0"/>
              </w:rPr>
              <w:t>确认相关内容</w:t>
            </w:r>
            <w:r>
              <w:rPr>
                <w:rFonts w:hint="eastAsia" w:ascii="宋体" w:hAnsi="宋体" w:cs="宋体"/>
                <w:color w:val="000000"/>
              </w:rPr>
              <w:t>；</w:t>
            </w:r>
          </w:p>
          <w:p>
            <w:pPr>
              <w:widowControl/>
              <w:numPr>
                <w:ilvl w:val="0"/>
                <w:numId w:val="5"/>
              </w:numPr>
              <w:spacing w:line="300" w:lineRule="exact"/>
              <w:textAlignment w:val="top"/>
              <w:rPr>
                <w:rFonts w:hint="eastAsia" w:ascii="宋体" w:hAnsi="宋体" w:cs="宋体"/>
                <w:color w:val="000000"/>
              </w:rPr>
            </w:pPr>
            <w:r>
              <w:rPr>
                <w:rFonts w:hint="eastAsia" w:ascii="宋体" w:hAnsi="宋体" w:cs="宋体"/>
                <w:color w:val="000000"/>
              </w:rPr>
              <w:t>查看定期考核评估记录。</w:t>
            </w:r>
          </w:p>
        </w:tc>
        <w:tc>
          <w:tcPr>
            <w:tcW w:w="584" w:type="pc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hint="eastAsia"/>
                <w:sz w:val="21"/>
                <w:szCs w:val="21"/>
              </w:rPr>
            </w:pPr>
            <w:r>
              <w:rPr>
                <w:rStyle w:val="5"/>
                <w:rFonts w:hint="eastAsia"/>
                <w:sz w:val="21"/>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7" w:type="pct"/>
            <w:noWrap w:val="0"/>
            <w:vAlign w:val="center"/>
          </w:tcPr>
          <w:p>
            <w:pPr>
              <w:spacing w:line="300" w:lineRule="exact"/>
              <w:jc w:val="center"/>
              <w:rPr>
                <w:rFonts w:hint="eastAsia" w:ascii="宋体" w:hAnsi="宋体" w:cs="宋体"/>
                <w:color w:val="000000"/>
              </w:rPr>
            </w:pPr>
            <w:r>
              <w:rPr>
                <w:rFonts w:hint="eastAsia" w:ascii="宋体" w:hAnsi="宋体" w:cs="宋体"/>
                <w:color w:val="000000"/>
              </w:rPr>
              <w:t>*7.2</w:t>
            </w:r>
          </w:p>
        </w:tc>
        <w:tc>
          <w:tcPr>
            <w:tcW w:w="1962" w:type="pct"/>
            <w:noWrap w:val="0"/>
            <w:vAlign w:val="center"/>
          </w:tcPr>
          <w:p>
            <w:pPr>
              <w:spacing w:line="300" w:lineRule="exact"/>
              <w:rPr>
                <w:rFonts w:ascii="宋体" w:hAnsi="宋体" w:cs="Times New Roman"/>
                <w:color w:val="000000"/>
              </w:rPr>
            </w:pPr>
            <w:r>
              <w:rPr>
                <w:rFonts w:hint="eastAsia" w:ascii="宋体" w:hAnsi="宋体" w:cs="宋体"/>
                <w:color w:val="000000"/>
              </w:rPr>
              <w:t>对于已中止委托提供第三方物流服务和委托第三方物流协议到期未延续的经营企业(已完成许可证库房地址变更的)，第三方物流企业应于</w:t>
            </w:r>
            <w:r>
              <w:rPr>
                <w:rFonts w:ascii="宋体" w:hAnsi="宋体" w:cs="宋体"/>
                <w:color w:val="000000"/>
              </w:rPr>
              <w:t>20</w:t>
            </w:r>
            <w:r>
              <w:rPr>
                <w:rFonts w:hint="eastAsia" w:ascii="宋体" w:hAnsi="宋体" w:cs="宋体"/>
                <w:color w:val="000000"/>
              </w:rPr>
              <w:t>个工作日内，书面告知住所所在地区市场监督管理局。</w:t>
            </w:r>
          </w:p>
        </w:tc>
        <w:tc>
          <w:tcPr>
            <w:tcW w:w="2127" w:type="pct"/>
            <w:noWrap w:val="0"/>
            <w:vAlign w:val="center"/>
          </w:tcPr>
          <w:p>
            <w:pPr>
              <w:spacing w:line="300" w:lineRule="exact"/>
              <w:rPr>
                <w:rFonts w:hint="eastAsia" w:ascii="宋体" w:hAnsi="宋体" w:cs="Times New Roman"/>
                <w:color w:val="000000"/>
                <w:highlight w:val="yellow"/>
              </w:rPr>
            </w:pPr>
            <w:r>
              <w:rPr>
                <w:rFonts w:hint="eastAsia" w:ascii="宋体" w:hAnsi="宋体" w:cs="宋体"/>
                <w:color w:val="000000"/>
              </w:rPr>
              <w:t>1．查看企业对签约委托方的管理文件和</w:t>
            </w:r>
            <w:r>
              <w:rPr>
                <w:rFonts w:hint="eastAsia" w:ascii="宋体" w:hAnsi="宋体"/>
                <w:color w:val="000000"/>
                <w:kern w:val="0"/>
              </w:rPr>
              <w:t>向企业</w:t>
            </w:r>
            <w:r>
              <w:rPr>
                <w:rFonts w:ascii="宋体" w:hAnsi="宋体"/>
                <w:color w:val="000000"/>
                <w:kern w:val="0"/>
              </w:rPr>
              <w:t>所在地</w:t>
            </w:r>
            <w:r>
              <w:rPr>
                <w:rFonts w:hint="eastAsia" w:ascii="宋体" w:hAnsi="宋体" w:cs="宋体"/>
                <w:color w:val="000000"/>
              </w:rPr>
              <w:t>区市场监督管理局</w:t>
            </w:r>
            <w:r>
              <w:rPr>
                <w:rFonts w:ascii="宋体" w:hAnsi="宋体"/>
                <w:color w:val="000000"/>
                <w:kern w:val="0"/>
              </w:rPr>
              <w:t>报告</w:t>
            </w:r>
            <w:r>
              <w:rPr>
                <w:rFonts w:hint="eastAsia" w:ascii="宋体" w:hAnsi="宋体"/>
                <w:color w:val="000000"/>
                <w:kern w:val="0"/>
              </w:rPr>
              <w:t>，确认相关内容。</w:t>
            </w:r>
          </w:p>
        </w:tc>
        <w:tc>
          <w:tcPr>
            <w:tcW w:w="584" w:type="pct"/>
            <w:noWrap w:val="0"/>
            <w:vAlign w:val="center"/>
          </w:tcPr>
          <w:p>
            <w:pPr>
              <w:widowControl/>
              <w:spacing w:line="300" w:lineRule="exact"/>
              <w:textAlignment w:val="top"/>
              <w:rPr>
                <w:rStyle w:val="5"/>
                <w:rFonts w:cs="Times New Roman"/>
                <w:sz w:val="21"/>
                <w:szCs w:val="21"/>
              </w:rPr>
            </w:pPr>
            <w:r>
              <w:rPr>
                <w:rStyle w:val="5"/>
                <w:rFonts w:hint="eastAsia"/>
                <w:sz w:val="21"/>
                <w:szCs w:val="21"/>
              </w:rPr>
              <w:t>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合理缺项</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不符合规定</w:t>
            </w:r>
            <w:r>
              <w:rPr>
                <w:rStyle w:val="5"/>
                <w:sz w:val="21"/>
                <w:szCs w:val="21"/>
              </w:rPr>
              <w:t xml:space="preserve"> </w:t>
            </w:r>
            <w:r>
              <w:rPr>
                <w:rStyle w:val="5"/>
                <w:rFonts w:hint="eastAsia"/>
                <w:sz w:val="21"/>
                <w:szCs w:val="21"/>
              </w:rPr>
              <w:t>□</w:t>
            </w:r>
          </w:p>
          <w:p>
            <w:pPr>
              <w:widowControl/>
              <w:spacing w:line="300" w:lineRule="exact"/>
              <w:textAlignment w:val="top"/>
              <w:rPr>
                <w:rStyle w:val="5"/>
                <w:rFonts w:cs="Times New Roman"/>
                <w:sz w:val="21"/>
                <w:szCs w:val="21"/>
              </w:rPr>
            </w:pPr>
            <w:r>
              <w:rPr>
                <w:rStyle w:val="5"/>
                <w:rFonts w:hint="eastAsia"/>
                <w:sz w:val="21"/>
                <w:szCs w:val="21"/>
              </w:rPr>
              <w:t>问题描述：</w:t>
            </w:r>
          </w:p>
        </w:tc>
      </w:tr>
    </w:tbl>
    <w:p>
      <w:pPr>
        <w:rPr>
          <w:rFonts w:ascii="宋体" w:hAnsi="宋体" w:cs="Times New Roman"/>
          <w:color w:val="000000"/>
        </w:rPr>
      </w:pPr>
    </w:p>
    <w:p>
      <w:bookmarkStart w:id="1" w:name="_GoBack"/>
      <w:bookmarkEnd w:id="1"/>
    </w:p>
    <w:sectPr>
      <w:footerReference r:id="rId3" w:type="default"/>
      <w:pgSz w:w="16838" w:h="11906" w:orient="landscape"/>
      <w:pgMar w:top="1701" w:right="1440" w:bottom="1701"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fldChar w:fldCharType="begin"/>
    </w:r>
    <w:r>
      <w:instrText xml:space="preserve">PAGE   \* MERGEFORMAT</w:instrText>
    </w:r>
    <w:r>
      <w:fldChar w:fldCharType="separate"/>
    </w:r>
    <w:r>
      <w:rPr>
        <w:lang w:val="zh-CN"/>
      </w:rPr>
      <w:t>1</w: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915BCA"/>
    <w:multiLevelType w:val="singleLevel"/>
    <w:tmpl w:val="93915BCA"/>
    <w:lvl w:ilvl="0" w:tentative="0">
      <w:start w:val="1"/>
      <w:numFmt w:val="decimal"/>
      <w:lvlText w:val="%1."/>
      <w:lvlJc w:val="left"/>
      <w:pPr>
        <w:tabs>
          <w:tab w:val="left" w:pos="312"/>
        </w:tabs>
      </w:pPr>
    </w:lvl>
  </w:abstractNum>
  <w:abstractNum w:abstractNumId="1">
    <w:nsid w:val="CDA50D57"/>
    <w:multiLevelType w:val="singleLevel"/>
    <w:tmpl w:val="CDA50D57"/>
    <w:lvl w:ilvl="0" w:tentative="0">
      <w:start w:val="1"/>
      <w:numFmt w:val="decimal"/>
      <w:lvlText w:val="%1."/>
      <w:lvlJc w:val="left"/>
      <w:pPr>
        <w:tabs>
          <w:tab w:val="left" w:pos="312"/>
        </w:tabs>
      </w:pPr>
    </w:lvl>
  </w:abstractNum>
  <w:abstractNum w:abstractNumId="2">
    <w:nsid w:val="1CAD0876"/>
    <w:multiLevelType w:val="singleLevel"/>
    <w:tmpl w:val="1CAD0876"/>
    <w:lvl w:ilvl="0" w:tentative="0">
      <w:start w:val="1"/>
      <w:numFmt w:val="decimal"/>
      <w:lvlText w:val="%1."/>
      <w:lvlJc w:val="left"/>
      <w:pPr>
        <w:tabs>
          <w:tab w:val="left" w:pos="312"/>
        </w:tabs>
      </w:pPr>
    </w:lvl>
  </w:abstractNum>
  <w:abstractNum w:abstractNumId="3">
    <w:nsid w:val="35E3BF95"/>
    <w:multiLevelType w:val="singleLevel"/>
    <w:tmpl w:val="35E3BF95"/>
    <w:lvl w:ilvl="0" w:tentative="0">
      <w:start w:val="1"/>
      <w:numFmt w:val="decimal"/>
      <w:lvlText w:val="%1."/>
      <w:lvlJc w:val="left"/>
      <w:pPr>
        <w:tabs>
          <w:tab w:val="left" w:pos="312"/>
        </w:tabs>
      </w:pPr>
    </w:lvl>
  </w:abstractNum>
  <w:abstractNum w:abstractNumId="4">
    <w:nsid w:val="68EE6E83"/>
    <w:multiLevelType w:val="singleLevel"/>
    <w:tmpl w:val="68EE6E83"/>
    <w:lvl w:ilvl="0" w:tentative="0">
      <w:start w:val="1"/>
      <w:numFmt w:val="decimal"/>
      <w:lvlText w:val="%1."/>
      <w:lvlJc w:val="left"/>
      <w:pPr>
        <w:tabs>
          <w:tab w:val="left" w:pos="312"/>
        </w:tabs>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3NGEwNGVlYjIwM2VhMDVlZGI5ZDQ2Mjg1MmE2YWEifQ=="/>
  </w:docVars>
  <w:rsids>
    <w:rsidRoot w:val="18935729"/>
    <w:rsid w:val="18935729"/>
    <w:rsid w:val="20FC40EB"/>
    <w:rsid w:val="42306CE7"/>
    <w:rsid w:val="4EED6D6E"/>
    <w:rsid w:val="55B22F98"/>
    <w:rsid w:val="76950B19"/>
    <w:rsid w:val="7E8D16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cs="Times New Roman"/>
      <w:kern w:val="0"/>
      <w:sz w:val="18"/>
      <w:szCs w:val="18"/>
    </w:rPr>
  </w:style>
  <w:style w:type="character" w:customStyle="1" w:styleId="5">
    <w:name w:val="font01"/>
    <w:uiPriority w:val="99"/>
    <w:rPr>
      <w:rFonts w:ascii="宋体" w:hAnsi="宋体" w:eastAsia="宋体" w:cs="宋体"/>
      <w:color w:val="000000"/>
      <w:sz w:val="20"/>
      <w:szCs w:val="20"/>
    </w:rPr>
  </w:style>
  <w:style w:type="character" w:customStyle="1" w:styleId="6">
    <w:name w:val="font11"/>
    <w:qFormat/>
    <w:uiPriority w:val="99"/>
    <w:rPr>
      <w:rFonts w:ascii="宋体" w:hAnsi="宋体" w:eastAsia="宋体" w:cs="宋体"/>
      <w:color w:val="000000"/>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2022-09-28T02:57:00Z</dcterms:created>
  <dc:creator>杨路凯</dc:creator>
  <cp:lastModifiedBy>杨路凯</cp:lastModifiedBy>
  <dcterms:modified xsi:type="dcterms:W3CDTF">2022-09-28T02:57:53Z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FECD42EEC2C44F58A2E9BA61B56FAD7D</vt:lpwstr>
  </property>
</Properties>
</file>