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E8" w:rsidRPr="00D445F9" w:rsidRDefault="004A3CE8" w:rsidP="004A3CE8">
      <w:pPr>
        <w:ind w:firstLineChars="200" w:firstLine="702"/>
        <w:jc w:val="center"/>
        <w:rPr>
          <w:rFonts w:ascii="方正小标宋简体" w:eastAsia="方正小标宋简体" w:hint="eastAsia"/>
          <w:sz w:val="36"/>
          <w:szCs w:val="36"/>
        </w:rPr>
      </w:pPr>
      <w:r w:rsidRPr="00D445F9">
        <w:rPr>
          <w:rFonts w:ascii="方正小标宋简体" w:eastAsia="方正小标宋简体" w:hint="eastAsia"/>
          <w:sz w:val="36"/>
          <w:szCs w:val="36"/>
        </w:rPr>
        <w:t>药品零售企业分级分类管理细则（试行）</w:t>
      </w:r>
    </w:p>
    <w:p w:rsidR="004A3CE8" w:rsidRPr="00D445F9" w:rsidRDefault="004A3CE8" w:rsidP="004A3CE8">
      <w:pPr>
        <w:ind w:firstLineChars="200" w:firstLine="622"/>
        <w:rPr>
          <w:rFonts w:ascii="仿宋_GB2312" w:eastAsia="仿宋_GB2312" w:hAnsi="宋体" w:hint="eastAsia"/>
          <w:sz w:val="32"/>
          <w:szCs w:val="32"/>
        </w:rPr>
      </w:pPr>
    </w:p>
    <w:p w:rsidR="004A3CE8" w:rsidRPr="00D445F9" w:rsidRDefault="004A3CE8" w:rsidP="004A3CE8">
      <w:pPr>
        <w:jc w:val="center"/>
        <w:rPr>
          <w:rFonts w:ascii="黑体" w:eastAsia="黑体" w:hint="eastAsia"/>
          <w:color w:val="000000"/>
          <w:sz w:val="32"/>
          <w:szCs w:val="32"/>
        </w:rPr>
      </w:pPr>
      <w:r w:rsidRPr="00D445F9">
        <w:rPr>
          <w:rFonts w:ascii="黑体" w:eastAsia="黑体" w:hint="eastAsia"/>
          <w:color w:val="000000"/>
          <w:sz w:val="32"/>
          <w:szCs w:val="32"/>
        </w:rPr>
        <w:t>第一章  总  则</w:t>
      </w:r>
    </w:p>
    <w:p w:rsidR="004A3CE8" w:rsidRPr="00D445F9" w:rsidRDefault="004A3CE8" w:rsidP="004A3CE8">
      <w:pPr>
        <w:ind w:firstLineChars="200" w:firstLine="622"/>
        <w:rPr>
          <w:rFonts w:ascii="仿宋_GB2312" w:eastAsia="仿宋_GB2312" w:hAnsi="宋体" w:hint="eastAsia"/>
          <w:color w:val="000000"/>
          <w:sz w:val="32"/>
          <w:szCs w:val="32"/>
        </w:rPr>
      </w:pPr>
      <w:r w:rsidRPr="00D445F9">
        <w:rPr>
          <w:rFonts w:ascii="仿宋_GB2312" w:eastAsia="仿宋_GB2312" w:hint="eastAsia"/>
          <w:color w:val="000000"/>
          <w:sz w:val="32"/>
          <w:szCs w:val="32"/>
        </w:rPr>
        <w:t>第一条  为进一步加强我市药品零售企业规范化管理，规范药品市场环境，提升市场的风险发现和控制能力，特制定本细则。</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第二条  本细则中的分级分类管理，是指食品药品监督管理部门对药品零售企业根据其所经营药品范围、药学技术人员配置情况、信息化管理水平、药学服务能力和规范程度、药品质量管理水平等因素，对其按经营分类和风险分级实施动态管理的活动。</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第三条  本细则适用于北京市已取得《药品经营许可证》的药品零售企业的监督管理。</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新开办的药品零售企业应严格按照现行准入标准和新修订GSP的有关要求许可，在取得《药品经营许可证》后纳入分级分类管理体系。</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第四条  北京市食品药品监督管理局负责制定全市药品零售企业分级分类管理细则，确定分级分类原则，指导检查区县局、直属分局实施分级分类工作。</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各区县局、直属分局负责本辖区药品零售企业分级分类管理的具体实施工作。</w:t>
      </w:r>
    </w:p>
    <w:p w:rsidR="004A3CE8" w:rsidRDefault="004A3CE8" w:rsidP="004A3CE8">
      <w:pPr>
        <w:rPr>
          <w:rFonts w:ascii="仿宋_GB2312" w:eastAsia="仿宋_GB2312" w:hint="eastAsia"/>
          <w:color w:val="000000"/>
          <w:sz w:val="32"/>
          <w:szCs w:val="32"/>
        </w:rPr>
      </w:pPr>
    </w:p>
    <w:p w:rsidR="004A3CE8" w:rsidRPr="00D445F9" w:rsidRDefault="004A3CE8" w:rsidP="004A3CE8">
      <w:pPr>
        <w:jc w:val="center"/>
        <w:rPr>
          <w:rFonts w:ascii="黑体" w:eastAsia="黑体" w:hint="eastAsia"/>
          <w:color w:val="000000"/>
          <w:sz w:val="32"/>
          <w:szCs w:val="32"/>
        </w:rPr>
      </w:pPr>
      <w:r w:rsidRPr="00D445F9">
        <w:rPr>
          <w:rFonts w:ascii="黑体" w:eastAsia="黑体" w:hint="eastAsia"/>
          <w:color w:val="000000"/>
          <w:sz w:val="32"/>
          <w:szCs w:val="32"/>
        </w:rPr>
        <w:t>第二章  经营分类</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第五条  根据企业经营范围、药学技术人员配置情况、场地</w:t>
      </w:r>
      <w:r w:rsidRPr="00D445F9">
        <w:rPr>
          <w:rFonts w:ascii="仿宋_GB2312" w:eastAsia="仿宋_GB2312" w:hint="eastAsia"/>
          <w:color w:val="000000"/>
          <w:sz w:val="32"/>
          <w:szCs w:val="32"/>
        </w:rPr>
        <w:lastRenderedPageBreak/>
        <w:t>设施设备、信息化管理能力等因素将药品零售企业门店分为三个管理类别：</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一类零售企业（以下简称一类店）：经营品种限定为乙类非处方药；</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二类零售企业（以下简称二类店）：经营品种限定为除必须凭处方销售的药品及中药饮片外的其他药品；</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三类零售企业（以下简称三类店）：可申请经营所有可在药品零售企业销售的药品。</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第六条  三类</w:t>
      </w:r>
      <w:proofErr w:type="gramStart"/>
      <w:r w:rsidRPr="00D445F9">
        <w:rPr>
          <w:rFonts w:ascii="仿宋_GB2312" w:eastAsia="仿宋_GB2312" w:hint="eastAsia"/>
          <w:color w:val="000000"/>
          <w:sz w:val="32"/>
          <w:szCs w:val="32"/>
        </w:rPr>
        <w:t>店至少</w:t>
      </w:r>
      <w:proofErr w:type="gramEnd"/>
      <w:r w:rsidRPr="00D445F9">
        <w:rPr>
          <w:rFonts w:ascii="仿宋_GB2312" w:eastAsia="仿宋_GB2312" w:hint="eastAsia"/>
          <w:color w:val="000000"/>
          <w:sz w:val="32"/>
          <w:szCs w:val="32"/>
        </w:rPr>
        <w:t>应符合以下要求：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（一）应当配备与经营范围相适应的至少1名执业药师和2名药师或以上职称的药学技术人员，从事质量管理、处方审核、药学服务等工作。连锁直</w:t>
      </w:r>
      <w:proofErr w:type="gramStart"/>
      <w:r w:rsidRPr="00D445F9">
        <w:rPr>
          <w:rFonts w:ascii="仿宋_GB2312" w:eastAsia="仿宋_GB2312" w:hint="eastAsia"/>
          <w:color w:val="000000"/>
          <w:sz w:val="32"/>
          <w:szCs w:val="32"/>
        </w:rPr>
        <w:t>营非法</w:t>
      </w:r>
      <w:proofErr w:type="gramEnd"/>
      <w:r w:rsidRPr="00D445F9">
        <w:rPr>
          <w:rFonts w:ascii="仿宋_GB2312" w:eastAsia="仿宋_GB2312" w:hint="eastAsia"/>
          <w:color w:val="000000"/>
          <w:sz w:val="32"/>
          <w:szCs w:val="32"/>
        </w:rPr>
        <w:t>人门</w:t>
      </w:r>
      <w:proofErr w:type="gramStart"/>
      <w:r w:rsidRPr="00D445F9">
        <w:rPr>
          <w:rFonts w:ascii="仿宋_GB2312" w:eastAsia="仿宋_GB2312" w:hint="eastAsia"/>
          <w:color w:val="000000"/>
          <w:sz w:val="32"/>
          <w:szCs w:val="32"/>
        </w:rPr>
        <w:t>店按照</w:t>
      </w:r>
      <w:proofErr w:type="gramEnd"/>
      <w:r w:rsidRPr="00D445F9">
        <w:rPr>
          <w:rFonts w:ascii="仿宋_GB2312" w:eastAsia="仿宋_GB2312" w:hint="eastAsia"/>
          <w:color w:val="000000"/>
          <w:sz w:val="32"/>
          <w:szCs w:val="32"/>
        </w:rPr>
        <w:t>我局有关要求建立责任药师制度，并配备责任药师实施有效管理的，可视同具有执业药师；</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（二）经批准的店堂面积</w:t>
      </w:r>
      <w:smartTag w:uri="urn:schemas-microsoft-com:office:smarttags" w:element="chmetcnv">
        <w:smartTagPr>
          <w:attr w:name="UnitName" w:val="平方米"/>
          <w:attr w:name="SourceValue" w:val="100"/>
          <w:attr w:name="HasSpace" w:val="False"/>
          <w:attr w:name="Negative" w:val="False"/>
          <w:attr w:name="NumberType" w:val="1"/>
          <w:attr w:name="TCSC" w:val="0"/>
        </w:smartTagPr>
        <w:r w:rsidRPr="00D445F9">
          <w:rPr>
            <w:rFonts w:ascii="仿宋_GB2312" w:eastAsia="仿宋_GB2312" w:hint="eastAsia"/>
            <w:color w:val="000000"/>
            <w:sz w:val="32"/>
            <w:szCs w:val="32"/>
          </w:rPr>
          <w:t>100平方米</w:t>
        </w:r>
      </w:smartTag>
      <w:r w:rsidRPr="00D445F9">
        <w:rPr>
          <w:rFonts w:ascii="仿宋_GB2312" w:eastAsia="仿宋_GB2312" w:hint="eastAsia"/>
          <w:color w:val="000000"/>
          <w:sz w:val="32"/>
          <w:szCs w:val="32"/>
        </w:rPr>
        <w:t>以上，成药经营区域不得低于70%；经营中药饮片的，还应设置相对独立的中药饮片营业区域，面积不得少于</w:t>
      </w:r>
      <w:smartTag w:uri="urn:schemas-microsoft-com:office:smarttags" w:element="chmetcnv">
        <w:smartTagPr>
          <w:attr w:name="UnitName" w:val="平方米"/>
          <w:attr w:name="SourceValue" w:val="30"/>
          <w:attr w:name="HasSpace" w:val="False"/>
          <w:attr w:name="Negative" w:val="False"/>
          <w:attr w:name="NumberType" w:val="1"/>
          <w:attr w:name="TCSC" w:val="0"/>
        </w:smartTagPr>
        <w:r w:rsidRPr="00D445F9">
          <w:rPr>
            <w:rFonts w:ascii="仿宋_GB2312" w:eastAsia="仿宋_GB2312" w:hint="eastAsia"/>
            <w:color w:val="000000"/>
            <w:sz w:val="32"/>
            <w:szCs w:val="32"/>
          </w:rPr>
          <w:t>30平方米</w:t>
        </w:r>
      </w:smartTag>
      <w:r w:rsidRPr="00D445F9">
        <w:rPr>
          <w:rFonts w:ascii="仿宋_GB2312" w:eastAsia="仿宋_GB2312" w:hint="eastAsia"/>
          <w:color w:val="000000"/>
          <w:sz w:val="32"/>
          <w:szCs w:val="32"/>
        </w:rPr>
        <w:t>。企业店堂面积内除经营药品外，还可依法申请经营医疗器械、保健食品和婴幼儿配方乳粉等产品。企业应建立相应制度并采取物理措施保证药品、医疗器械销售区域与其它类别产品区域有效隔离。除前述类别商品外，经批准的店堂内不得摆放和销售其他类别商品；</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（三）店内商品陈列、摆放区域布局和管理应符合新修订《药</w:t>
      </w:r>
      <w:r w:rsidRPr="00D445F9">
        <w:rPr>
          <w:rFonts w:ascii="仿宋_GB2312" w:eastAsia="仿宋_GB2312" w:hint="eastAsia"/>
          <w:color w:val="000000"/>
          <w:sz w:val="32"/>
          <w:szCs w:val="32"/>
        </w:rPr>
        <w:lastRenderedPageBreak/>
        <w:t>品经营质量管理规范》的要求；处方药和处方调剂区域的划分和管理还应满足我局《药品零售企业药学服务规范》的专门要求；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四）计算机信息管理系统除应满足新修订《药品经营质量管理规范》的要求外，还应建立符合《药品零售企业药学服务规范》有关要求的药学服务信息管理系统，实施责任药师制度的连锁门店还应建立处方调剂信息管理系统；</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（五）销售管理系统实现与药品追溯系统对接；</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（六）具有不良反应直报系统；</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（七）销售药品时，应向顾客提供机</w:t>
      </w:r>
      <w:proofErr w:type="gramStart"/>
      <w:r w:rsidRPr="00D445F9">
        <w:rPr>
          <w:rFonts w:ascii="仿宋_GB2312" w:eastAsia="仿宋_GB2312" w:hint="eastAsia"/>
          <w:color w:val="000000"/>
          <w:sz w:val="32"/>
          <w:szCs w:val="32"/>
        </w:rPr>
        <w:t>打销售</w:t>
      </w:r>
      <w:proofErr w:type="gramEnd"/>
      <w:r w:rsidRPr="00D445F9">
        <w:rPr>
          <w:rFonts w:ascii="仿宋_GB2312" w:eastAsia="仿宋_GB2312" w:hint="eastAsia"/>
          <w:color w:val="000000"/>
          <w:sz w:val="32"/>
          <w:szCs w:val="32"/>
        </w:rPr>
        <w:t>凭证，凭证内容应符合新修订《药品经营质量管理规范》和《药品流通监督管理办法》的要求；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（八）符合《药品零售企业药学服务规范》的其他要求；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（九）已按农村乡镇以下地区设立标准开办的，营业场所面积执行原标准。</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 xml:space="preserve">第七条  </w:t>
      </w:r>
      <w:proofErr w:type="gramStart"/>
      <w:r w:rsidRPr="00D445F9">
        <w:rPr>
          <w:rFonts w:ascii="仿宋_GB2312" w:eastAsia="仿宋_GB2312" w:hint="eastAsia"/>
          <w:color w:val="000000"/>
          <w:sz w:val="32"/>
          <w:szCs w:val="32"/>
        </w:rPr>
        <w:t>二类店应至少</w:t>
      </w:r>
      <w:proofErr w:type="gramEnd"/>
      <w:r w:rsidRPr="00D445F9">
        <w:rPr>
          <w:rFonts w:ascii="仿宋_GB2312" w:eastAsia="仿宋_GB2312" w:hint="eastAsia"/>
          <w:color w:val="000000"/>
          <w:sz w:val="32"/>
          <w:szCs w:val="32"/>
        </w:rPr>
        <w:t>符合以下要求：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（一）应当至少配备与经营范围相适应的2名药师或以上职称的药学技术人员，从事质量管理、药学服务等工作；</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（二）经批准的店堂面积至少</w:t>
      </w:r>
      <w:smartTag w:uri="urn:schemas-microsoft-com:office:smarttags" w:element="chmetcnv">
        <w:smartTagPr>
          <w:attr w:name="UnitName" w:val="平方米"/>
          <w:attr w:name="SourceValue" w:val="80"/>
          <w:attr w:name="HasSpace" w:val="False"/>
          <w:attr w:name="Negative" w:val="False"/>
          <w:attr w:name="NumberType" w:val="1"/>
          <w:attr w:name="TCSC" w:val="0"/>
        </w:smartTagPr>
        <w:r w:rsidRPr="00D445F9">
          <w:rPr>
            <w:rFonts w:ascii="仿宋_GB2312" w:eastAsia="仿宋_GB2312" w:hint="eastAsia"/>
            <w:color w:val="000000"/>
            <w:sz w:val="32"/>
            <w:szCs w:val="32"/>
          </w:rPr>
          <w:t>80平方米</w:t>
        </w:r>
      </w:smartTag>
      <w:r w:rsidRPr="00D445F9">
        <w:rPr>
          <w:rFonts w:ascii="仿宋_GB2312" w:eastAsia="仿宋_GB2312" w:hint="eastAsia"/>
          <w:color w:val="000000"/>
          <w:sz w:val="32"/>
          <w:szCs w:val="32"/>
        </w:rPr>
        <w:t>，成药经营区域不得低于70%。企业店堂面积内除经营药品外，还可依法申请经营医疗器械、保健食品和婴幼儿配方乳粉等产品。企业应建立相应制度并采取物理措施保证药品、医疗器械销售区域与其它类别产品区域有效隔离。除前述类别商品外，经批准的店堂内不得摆放和销</w:t>
      </w:r>
      <w:r w:rsidRPr="00D445F9">
        <w:rPr>
          <w:rFonts w:ascii="仿宋_GB2312" w:eastAsia="仿宋_GB2312" w:hint="eastAsia"/>
          <w:color w:val="000000"/>
          <w:sz w:val="32"/>
          <w:szCs w:val="32"/>
        </w:rPr>
        <w:lastRenderedPageBreak/>
        <w:t>售其他类别商品；</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（三）计算机信息管理系统除应满足新修订《药品经营质量管理规范》的要求外，还应建立符合《药品零售企业药学服务规范》要求的药学服务信息管理系统；</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（四）具有接入互联网的能力，能够与追溯系统对接；</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（五）销售药品时，能够向顾客提供机</w:t>
      </w:r>
      <w:proofErr w:type="gramStart"/>
      <w:r w:rsidRPr="00D445F9">
        <w:rPr>
          <w:rFonts w:ascii="仿宋_GB2312" w:eastAsia="仿宋_GB2312" w:hint="eastAsia"/>
          <w:color w:val="000000"/>
          <w:sz w:val="32"/>
          <w:szCs w:val="32"/>
        </w:rPr>
        <w:t>打销售</w:t>
      </w:r>
      <w:proofErr w:type="gramEnd"/>
      <w:r w:rsidRPr="00D445F9">
        <w:rPr>
          <w:rFonts w:ascii="仿宋_GB2312" w:eastAsia="仿宋_GB2312" w:hint="eastAsia"/>
          <w:color w:val="000000"/>
          <w:sz w:val="32"/>
          <w:szCs w:val="32"/>
        </w:rPr>
        <w:t>凭证，凭证内容应符合新修订《药品经营质量管理规范》和《药品流通监督管理办法》的要求；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（六）符合《药品零售企业药学服务规范》的其他要求；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（七）二类</w:t>
      </w:r>
      <w:proofErr w:type="gramStart"/>
      <w:r w:rsidRPr="00D445F9">
        <w:rPr>
          <w:rFonts w:ascii="仿宋_GB2312" w:eastAsia="仿宋_GB2312" w:hint="eastAsia"/>
          <w:color w:val="000000"/>
          <w:sz w:val="32"/>
          <w:szCs w:val="32"/>
        </w:rPr>
        <w:t>店不得</w:t>
      </w:r>
      <w:proofErr w:type="gramEnd"/>
      <w:r w:rsidRPr="00D445F9">
        <w:rPr>
          <w:rFonts w:ascii="仿宋_GB2312" w:eastAsia="仿宋_GB2312" w:hint="eastAsia"/>
          <w:color w:val="000000"/>
          <w:sz w:val="32"/>
          <w:szCs w:val="32"/>
        </w:rPr>
        <w:t>从事处方调剂业务；</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（八）已按农村乡镇以下地区设立标准开办的，营业场所面积执行原标准;</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（九）对</w:t>
      </w:r>
      <w:smartTag w:uri="urn:schemas-microsoft-com:office:smarttags" w:element="chsdate">
        <w:smartTagPr>
          <w:attr w:name="Year" w:val="2013"/>
          <w:attr w:name="Month" w:val="6"/>
          <w:attr w:name="Day" w:val="1"/>
          <w:attr w:name="IsLunarDate" w:val="False"/>
          <w:attr w:name="IsROCDate" w:val="False"/>
        </w:smartTagPr>
        <w:r w:rsidRPr="00D445F9">
          <w:rPr>
            <w:rFonts w:ascii="仿宋_GB2312" w:eastAsia="仿宋_GB2312" w:hint="eastAsia"/>
            <w:color w:val="000000"/>
            <w:sz w:val="32"/>
            <w:szCs w:val="32"/>
          </w:rPr>
          <w:t>2013年6月1日</w:t>
        </w:r>
      </w:smartTag>
      <w:r w:rsidRPr="00D445F9">
        <w:rPr>
          <w:rFonts w:ascii="仿宋_GB2312" w:eastAsia="仿宋_GB2312" w:hint="eastAsia"/>
          <w:color w:val="000000"/>
          <w:sz w:val="32"/>
          <w:szCs w:val="32"/>
        </w:rPr>
        <w:t>，新版药品《经营质量管理规范》实施后开办的药品零售企业，其人员配置应达到三类店的要求。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第八条  一类企业门</w:t>
      </w:r>
      <w:proofErr w:type="gramStart"/>
      <w:r w:rsidRPr="00D445F9">
        <w:rPr>
          <w:rFonts w:ascii="仿宋_GB2312" w:eastAsia="仿宋_GB2312" w:hint="eastAsia"/>
          <w:color w:val="000000"/>
          <w:sz w:val="32"/>
          <w:szCs w:val="32"/>
        </w:rPr>
        <w:t>店至少</w:t>
      </w:r>
      <w:proofErr w:type="gramEnd"/>
      <w:r w:rsidRPr="00D445F9">
        <w:rPr>
          <w:rFonts w:ascii="仿宋_GB2312" w:eastAsia="仿宋_GB2312" w:hint="eastAsia"/>
          <w:color w:val="000000"/>
          <w:sz w:val="32"/>
          <w:szCs w:val="32"/>
        </w:rPr>
        <w:t>符合以下要求：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（一）应当配备至少1名药师或以上职称的药学技术人员，从事质量管理、药学服务等工作；</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（二）营业面积至少</w:t>
      </w:r>
      <w:smartTag w:uri="urn:schemas-microsoft-com:office:smarttags" w:element="chmetcnv">
        <w:smartTagPr>
          <w:attr w:name="UnitName" w:val="平方米"/>
          <w:attr w:name="SourceValue" w:val="20"/>
          <w:attr w:name="HasSpace" w:val="False"/>
          <w:attr w:name="Negative" w:val="False"/>
          <w:attr w:name="NumberType" w:val="1"/>
          <w:attr w:name="TCSC" w:val="0"/>
        </w:smartTagPr>
        <w:r w:rsidRPr="00D445F9">
          <w:rPr>
            <w:rFonts w:ascii="仿宋_GB2312" w:eastAsia="仿宋_GB2312" w:hint="eastAsia"/>
            <w:color w:val="000000"/>
            <w:sz w:val="32"/>
            <w:szCs w:val="32"/>
          </w:rPr>
          <w:t>20平方米</w:t>
        </w:r>
      </w:smartTag>
      <w:r w:rsidRPr="00D445F9">
        <w:rPr>
          <w:rFonts w:ascii="仿宋_GB2312" w:eastAsia="仿宋_GB2312" w:hint="eastAsia"/>
          <w:color w:val="000000"/>
          <w:sz w:val="32"/>
          <w:szCs w:val="32"/>
        </w:rPr>
        <w:t>以上；</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（三）计算机信息管理系统应符合新修订《药品经营质量管理规范》的要求；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（四）销售药品时，应向顾客提供机</w:t>
      </w:r>
      <w:proofErr w:type="gramStart"/>
      <w:r w:rsidRPr="00D445F9">
        <w:rPr>
          <w:rFonts w:ascii="仿宋_GB2312" w:eastAsia="仿宋_GB2312" w:hint="eastAsia"/>
          <w:color w:val="000000"/>
          <w:sz w:val="32"/>
          <w:szCs w:val="32"/>
        </w:rPr>
        <w:t>打销售</w:t>
      </w:r>
      <w:proofErr w:type="gramEnd"/>
      <w:r w:rsidRPr="00D445F9">
        <w:rPr>
          <w:rFonts w:ascii="仿宋_GB2312" w:eastAsia="仿宋_GB2312" w:hint="eastAsia"/>
          <w:color w:val="000000"/>
          <w:sz w:val="32"/>
          <w:szCs w:val="32"/>
        </w:rPr>
        <w:t>凭证，凭证内容应符合新修订《药品经营质量管理规范》和《药品流通监督管理</w:t>
      </w:r>
      <w:r w:rsidRPr="00D445F9">
        <w:rPr>
          <w:rFonts w:ascii="仿宋_GB2312" w:eastAsia="仿宋_GB2312" w:hint="eastAsia"/>
          <w:color w:val="000000"/>
          <w:sz w:val="32"/>
          <w:szCs w:val="32"/>
        </w:rPr>
        <w:lastRenderedPageBreak/>
        <w:t>办法》的要求；</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（五）</w:t>
      </w:r>
      <w:proofErr w:type="gramStart"/>
      <w:r w:rsidRPr="00D445F9">
        <w:rPr>
          <w:rFonts w:ascii="仿宋_GB2312" w:eastAsia="仿宋_GB2312" w:hint="eastAsia"/>
          <w:color w:val="000000"/>
          <w:sz w:val="32"/>
          <w:szCs w:val="32"/>
        </w:rPr>
        <w:t>一类店仅能</w:t>
      </w:r>
      <w:proofErr w:type="gramEnd"/>
      <w:r w:rsidRPr="00D445F9">
        <w:rPr>
          <w:rFonts w:ascii="仿宋_GB2312" w:eastAsia="仿宋_GB2312" w:hint="eastAsia"/>
          <w:color w:val="000000"/>
          <w:sz w:val="32"/>
          <w:szCs w:val="32"/>
        </w:rPr>
        <w:t>从事乙类非处方药品的销售。</w:t>
      </w:r>
    </w:p>
    <w:p w:rsidR="004A3CE8" w:rsidRDefault="004A3CE8" w:rsidP="004A3CE8">
      <w:pPr>
        <w:rPr>
          <w:rFonts w:ascii="仿宋_GB2312" w:eastAsia="仿宋_GB2312" w:hint="eastAsia"/>
          <w:color w:val="000000"/>
          <w:sz w:val="32"/>
          <w:szCs w:val="32"/>
        </w:rPr>
      </w:pPr>
    </w:p>
    <w:p w:rsidR="004A3CE8" w:rsidRPr="00D445F9" w:rsidRDefault="004A3CE8" w:rsidP="004A3CE8">
      <w:pPr>
        <w:jc w:val="center"/>
        <w:rPr>
          <w:rFonts w:ascii="黑体" w:eastAsia="黑体" w:hint="eastAsia"/>
          <w:color w:val="000000"/>
          <w:sz w:val="32"/>
          <w:szCs w:val="32"/>
        </w:rPr>
      </w:pPr>
      <w:r w:rsidRPr="00D445F9">
        <w:rPr>
          <w:rFonts w:ascii="黑体" w:eastAsia="黑体" w:hint="eastAsia"/>
          <w:color w:val="000000"/>
          <w:sz w:val="32"/>
          <w:szCs w:val="32"/>
        </w:rPr>
        <w:t>第三章  风险分级</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第九条  根据日常监管情况，在经营分类的基础上，将每类药品零售企业门店分为三个风险等级，各区县局、直属分局按照相应风险级别实施有针对性的监督管理。</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三级风险是指企业质量管理体系运行状况差、存在较大药品质量安全隐患，违法违规行为发生频次较多，投诉举报多的情形；</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二级风险是指企业质量管理体系运行状况较差、存在药品质量安全隐患，一般监管违规情况时有发生，投诉举报较多的情形；</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一级风险是指企业质量管理体系运行状况较好、基本消除药品质量安全隐患，日常管理规范，具有自我完善能力，日常监管违规较少，投诉举报较少的情形。</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第十条  药品零售企业门店风险分级管理应重点考虑以下因素：</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（一）企业因违法违规被处罚情况；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（二）不良反应报告情况；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w:t>
      </w:r>
      <w:r w:rsidRPr="00D445F9">
        <w:rPr>
          <w:rFonts w:ascii="仿宋_GB2312" w:eastAsia="仿宋_GB2312" w:hAnsi="宋体" w:cs="宋体" w:hint="eastAsia"/>
          <w:color w:val="000000"/>
          <w:kern w:val="0"/>
          <w:sz w:val="32"/>
          <w:szCs w:val="32"/>
        </w:rPr>
        <w:t>GSP运行情况</w:t>
      </w:r>
      <w:r w:rsidRPr="00D445F9">
        <w:rPr>
          <w:rFonts w:ascii="仿宋_GB2312" w:eastAsia="仿宋_GB2312" w:hint="eastAsia"/>
          <w:color w:val="000000"/>
          <w:sz w:val="32"/>
          <w:szCs w:val="32"/>
        </w:rPr>
        <w:t>；</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（四）互联网药品服务情况；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（五）药学技术人员在职在岗及变化情况；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（六）药品抽验合格情况；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lastRenderedPageBreak/>
        <w:t>（七）广告和促销行为规范性；</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（八）药学服务规范程度和服务能力；</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（九）进货渠道情况；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（十）被投诉举报情况和被媒体曝光情况；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（十一）执业药师、药师违规计分情况；</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（十二）辖区食品药品监督管理部门认为需要增加的其它指标。</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第十一条  应根据风险分级分值表（</w:t>
      </w:r>
      <w:r>
        <w:rPr>
          <w:rFonts w:ascii="仿宋_GB2312" w:eastAsia="仿宋_GB2312" w:hint="eastAsia"/>
          <w:color w:val="000000"/>
          <w:sz w:val="32"/>
          <w:szCs w:val="32"/>
        </w:rPr>
        <w:t>详见</w:t>
      </w:r>
      <w:r w:rsidRPr="00D445F9">
        <w:rPr>
          <w:rFonts w:ascii="仿宋_GB2312" w:eastAsia="仿宋_GB2312" w:hint="eastAsia"/>
          <w:color w:val="000000"/>
          <w:sz w:val="32"/>
          <w:szCs w:val="32"/>
        </w:rPr>
        <w:t>附件）对药品零售企业进行分级。对评级80（不含）分以下的，定为三级风险深度监管企业，评级80-90（不含）分的，定为二级风险重点监管企业，评级90-100分的定为一级风险一般监管企业。</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第十二条  具备以下情形的药品零售企业门店，其风险级别不得定为一级：</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（一）从外埠药品生产、经营企业直接购进药品的非药品零售连锁企业；</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（二）因违法违规经营药品被媒体曝光的；</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（三）因违法违规经营药品受到警告级别以上行政处罚的；</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（四）涉嫌违法违规进行广告活动且经告诫或处理后未采取有效措施的；</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（五）在许可或认证过程中，提供虚假材料的；</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（六）不具备处方调剂信息管理系统的药品零售企业门店；</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（七）各区县局、直属分局认为的其它情形。</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lastRenderedPageBreak/>
        <w:t>第十三条  药品零售企业风险级别评定工作每12个月为一个计分周期，每个周期风险评级指标至少全覆盖检查一次，依据检查结果确定企业风险级别，对于企业出现重大质量事故或严重违法违规等情况，可即时评定并调整企业风险级别。</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第十四条  行业协会等第三</w:t>
      </w:r>
      <w:proofErr w:type="gramStart"/>
      <w:r w:rsidRPr="00D445F9">
        <w:rPr>
          <w:rFonts w:ascii="仿宋_GB2312" w:eastAsia="仿宋_GB2312" w:hint="eastAsia"/>
          <w:color w:val="000000"/>
          <w:sz w:val="32"/>
          <w:szCs w:val="32"/>
        </w:rPr>
        <w:t>方专业</w:t>
      </w:r>
      <w:proofErr w:type="gramEnd"/>
      <w:r w:rsidRPr="00D445F9">
        <w:rPr>
          <w:rFonts w:ascii="仿宋_GB2312" w:eastAsia="仿宋_GB2312" w:hint="eastAsia"/>
          <w:color w:val="000000"/>
          <w:sz w:val="32"/>
          <w:szCs w:val="32"/>
        </w:rPr>
        <w:t>中介组织对企业的评估结果可作为确定企业风险级别的参考。连续两年被定为三级风险等级的，应下调其经营分类类别，对其经营范围进行相应核减。</w:t>
      </w:r>
    </w:p>
    <w:p w:rsidR="004A3CE8" w:rsidRDefault="004A3CE8" w:rsidP="004A3CE8">
      <w:pPr>
        <w:rPr>
          <w:rFonts w:ascii="仿宋_GB2312" w:eastAsia="仿宋_GB2312" w:hint="eastAsia"/>
          <w:color w:val="000000"/>
          <w:sz w:val="32"/>
          <w:szCs w:val="32"/>
        </w:rPr>
      </w:pPr>
    </w:p>
    <w:p w:rsidR="004A3CE8" w:rsidRPr="00B172BA" w:rsidRDefault="004A3CE8" w:rsidP="004A3CE8">
      <w:pPr>
        <w:jc w:val="center"/>
        <w:rPr>
          <w:rFonts w:ascii="黑体" w:eastAsia="黑体" w:hint="eastAsia"/>
          <w:color w:val="000000"/>
          <w:sz w:val="32"/>
          <w:szCs w:val="32"/>
        </w:rPr>
      </w:pPr>
      <w:r w:rsidRPr="00B172BA">
        <w:rPr>
          <w:rFonts w:ascii="黑体" w:eastAsia="黑体" w:hint="eastAsia"/>
          <w:color w:val="000000"/>
          <w:sz w:val="32"/>
          <w:szCs w:val="32"/>
        </w:rPr>
        <w:t>第四章 经营管理</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第十五条  经营分类被定为二类的药品零售企业，药品经营许可证经营范围中不再标注“抗生素”、“中药饮片”、“生物制品”、“二类精神药品”、“毒性中药饮片”等高风险品种，并同时标注“必须凭处方销售的药品除外”。</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第十六条  区县局、直属分局应根据药品零售企业经营类别和风险级别，在许可验收、认证检查和日常监管中制定有针对性的方案和计划开展许可和监管工作：</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一）被评为三级风险级别的药品零售企业为深度监管企业，应将其作为全年重点监控企业，进行高频次监管。并应根据日常监管情况随时对其药品经营情况进行全面检查，加大针对性抽验力度和频次，对其主要负责人进行诫勉谈话，公示违法记录；</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（二）被评为二级风险级别的药品零售企业为重点监管企业，应对该类企业进行较高频率监管，并适时进行专项检查、跟踪检</w:t>
      </w:r>
      <w:r w:rsidRPr="00D445F9">
        <w:rPr>
          <w:rFonts w:ascii="仿宋_GB2312" w:eastAsia="仿宋_GB2312" w:hint="eastAsia"/>
          <w:color w:val="000000"/>
          <w:sz w:val="32"/>
          <w:szCs w:val="32"/>
        </w:rPr>
        <w:lastRenderedPageBreak/>
        <w:t>查和针对性抽验；</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（三）被评为一级风险级别的药品零售企业为一般监管企业，对该类企业可进行适度频率监管。</w:t>
      </w:r>
    </w:p>
    <w:p w:rsidR="004A3CE8" w:rsidRPr="00D445F9" w:rsidRDefault="004A3CE8" w:rsidP="004A3CE8">
      <w:pPr>
        <w:ind w:firstLineChars="200" w:firstLine="622"/>
        <w:rPr>
          <w:rFonts w:ascii="仿宋_GB2312" w:eastAsia="仿宋_GB2312" w:hint="eastAsia"/>
          <w:b/>
          <w:sz w:val="32"/>
          <w:szCs w:val="32"/>
          <w:u w:val="single"/>
        </w:rPr>
      </w:pPr>
      <w:r w:rsidRPr="00D445F9">
        <w:rPr>
          <w:rFonts w:ascii="仿宋_GB2312" w:eastAsia="仿宋_GB2312" w:hint="eastAsia"/>
          <w:color w:val="000000"/>
          <w:sz w:val="32"/>
          <w:szCs w:val="32"/>
        </w:rPr>
        <w:t>第十七条  各区县局、直属分局应结合日常监管，开展本辖区内药品零售企业分级分类管理工作，建立分级分类监督管理档案，客观反映药品零售企业的风险程度和风险管理能力。档案内容至少应包括企业基本信息、分级分类情况</w:t>
      </w:r>
      <w:r>
        <w:rPr>
          <w:rFonts w:ascii="仿宋_GB2312" w:eastAsia="仿宋_GB2312" w:hint="eastAsia"/>
          <w:color w:val="000000"/>
          <w:sz w:val="32"/>
          <w:szCs w:val="32"/>
        </w:rPr>
        <w:t>、</w:t>
      </w:r>
      <w:r w:rsidRPr="00D445F9">
        <w:rPr>
          <w:rFonts w:ascii="仿宋_GB2312" w:eastAsia="仿宋_GB2312" w:hint="eastAsia"/>
          <w:color w:val="000000"/>
          <w:sz w:val="32"/>
          <w:szCs w:val="32"/>
        </w:rPr>
        <w:t>日常监管记录、举报投诉、行政处罚等信息。</w:t>
      </w:r>
    </w:p>
    <w:p w:rsidR="004A3CE8" w:rsidRPr="00D445F9"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第十八条  各区县局、直属分局应督促药品零售企业强化信用意识，加强风险管理，促进企业守法自律、诚信经营。</w:t>
      </w:r>
    </w:p>
    <w:p w:rsidR="004A3CE8" w:rsidRDefault="004A3CE8" w:rsidP="004A3CE8">
      <w:pPr>
        <w:ind w:firstLineChars="200" w:firstLine="622"/>
        <w:rPr>
          <w:rFonts w:ascii="仿宋_GB2312" w:eastAsia="仿宋_GB2312" w:hint="eastAsia"/>
          <w:color w:val="000000"/>
          <w:sz w:val="32"/>
          <w:szCs w:val="32"/>
        </w:rPr>
      </w:pPr>
      <w:r w:rsidRPr="00D445F9">
        <w:rPr>
          <w:rFonts w:ascii="仿宋_GB2312" w:eastAsia="仿宋_GB2312" w:hint="eastAsia"/>
          <w:color w:val="000000"/>
          <w:sz w:val="32"/>
          <w:szCs w:val="32"/>
        </w:rPr>
        <w:t>第十九条  各区县局、直属分局应对本辖区企业分级分类情况进行公示，公示至少包括企业名称、许可证号、企业法人、企业负责人、质量负责人、分级分类等级等内容，同时纳入我局企业诚信管理体系。</w:t>
      </w:r>
    </w:p>
    <w:p w:rsidR="004A3CE8" w:rsidRDefault="004A3CE8" w:rsidP="004A3CE8">
      <w:pPr>
        <w:ind w:firstLineChars="200" w:firstLine="622"/>
        <w:rPr>
          <w:rFonts w:ascii="仿宋_GB2312" w:eastAsia="仿宋_GB2312" w:hint="eastAsia"/>
          <w:color w:val="000000"/>
          <w:sz w:val="32"/>
          <w:szCs w:val="32"/>
        </w:rPr>
      </w:pPr>
    </w:p>
    <w:p w:rsidR="004A3CE8" w:rsidRPr="00D445F9" w:rsidRDefault="004A3CE8" w:rsidP="004A3CE8">
      <w:pPr>
        <w:ind w:firstLineChars="200" w:firstLine="622"/>
        <w:rPr>
          <w:rFonts w:ascii="仿宋_GB2312" w:eastAsia="仿宋_GB2312" w:hint="eastAsia"/>
          <w:sz w:val="32"/>
          <w:szCs w:val="32"/>
        </w:rPr>
      </w:pPr>
      <w:r>
        <w:rPr>
          <w:rFonts w:ascii="仿宋_GB2312" w:eastAsia="仿宋_GB2312" w:hint="eastAsia"/>
          <w:color w:val="000000"/>
          <w:sz w:val="32"/>
          <w:szCs w:val="32"/>
        </w:rPr>
        <w:t>附件：</w:t>
      </w:r>
      <w:r w:rsidRPr="00D445F9">
        <w:rPr>
          <w:rFonts w:ascii="仿宋_GB2312" w:eastAsia="仿宋_GB2312" w:hint="eastAsia"/>
          <w:sz w:val="32"/>
          <w:szCs w:val="32"/>
        </w:rPr>
        <w:t>风险分级分值表</w:t>
      </w:r>
    </w:p>
    <w:p w:rsidR="004A3CE8" w:rsidRDefault="004A3CE8" w:rsidP="004A3CE8">
      <w:pPr>
        <w:ind w:firstLineChars="200" w:firstLine="622"/>
        <w:rPr>
          <w:rFonts w:ascii="仿宋_GB2312" w:eastAsia="仿宋_GB2312" w:hint="eastAsia"/>
          <w:color w:val="000000"/>
          <w:sz w:val="32"/>
          <w:szCs w:val="32"/>
        </w:rPr>
      </w:pPr>
    </w:p>
    <w:p w:rsidR="004A3CE8" w:rsidRDefault="004A3CE8" w:rsidP="004A3CE8">
      <w:pPr>
        <w:ind w:firstLineChars="200" w:firstLine="622"/>
        <w:rPr>
          <w:rFonts w:ascii="仿宋_GB2312" w:eastAsia="仿宋_GB2312" w:hint="eastAsia"/>
          <w:color w:val="000000"/>
          <w:sz w:val="32"/>
          <w:szCs w:val="32"/>
        </w:rPr>
      </w:pPr>
    </w:p>
    <w:p w:rsidR="004A3CE8" w:rsidRPr="00D445F9" w:rsidRDefault="004A3CE8" w:rsidP="004A3CE8">
      <w:pPr>
        <w:ind w:firstLineChars="200" w:firstLine="622"/>
        <w:rPr>
          <w:rFonts w:ascii="仿宋_GB2312" w:eastAsia="仿宋_GB2312" w:hint="eastAsia"/>
          <w:sz w:val="32"/>
          <w:szCs w:val="32"/>
        </w:rPr>
        <w:sectPr w:rsidR="004A3CE8" w:rsidRPr="00D445F9" w:rsidSect="004C4003">
          <w:footerReference w:type="even" r:id="rId5"/>
          <w:footerReference w:type="default" r:id="rId6"/>
          <w:pgSz w:w="11906" w:h="16838" w:code="9"/>
          <w:pgMar w:top="2098" w:right="1474" w:bottom="1985" w:left="1588" w:header="851" w:footer="1588" w:gutter="0"/>
          <w:cols w:space="425"/>
          <w:docGrid w:type="linesAndChars" w:linePitch="579" w:charSpace="-1844"/>
        </w:sectPr>
      </w:pPr>
    </w:p>
    <w:p w:rsidR="004A3CE8" w:rsidRPr="00D445F9" w:rsidRDefault="004A3CE8" w:rsidP="004A3CE8">
      <w:pPr>
        <w:rPr>
          <w:rFonts w:ascii="方正小标宋简体" w:eastAsia="方正小标宋简体" w:hint="eastAsia"/>
          <w:sz w:val="36"/>
          <w:szCs w:val="36"/>
        </w:rPr>
      </w:pPr>
      <w:r w:rsidRPr="00D445F9">
        <w:rPr>
          <w:rFonts w:ascii="黑体" w:eastAsia="黑体" w:hint="eastAsia"/>
          <w:sz w:val="32"/>
          <w:szCs w:val="32"/>
        </w:rPr>
        <w:lastRenderedPageBreak/>
        <w:t>附件</w:t>
      </w:r>
      <w:r>
        <w:rPr>
          <w:rFonts w:ascii="黑体" w:eastAsia="黑体" w:hint="eastAsia"/>
          <w:sz w:val="32"/>
          <w:szCs w:val="32"/>
        </w:rPr>
        <w:t xml:space="preserve">                  </w:t>
      </w:r>
      <w:r w:rsidRPr="00D445F9">
        <w:rPr>
          <w:rFonts w:ascii="方正小标宋简体" w:eastAsia="方正小标宋简体" w:hint="eastAsia"/>
          <w:sz w:val="36"/>
          <w:szCs w:val="36"/>
        </w:rPr>
        <w:t>风险分级分值表</w:t>
      </w:r>
    </w:p>
    <w:tbl>
      <w:tblPr>
        <w:tblStyle w:val="a5"/>
        <w:tblW w:w="0" w:type="auto"/>
        <w:jc w:val="center"/>
        <w:tblLook w:val="01E0" w:firstRow="1" w:lastRow="1" w:firstColumn="1" w:lastColumn="1" w:noHBand="0" w:noVBand="0"/>
      </w:tblPr>
      <w:tblGrid>
        <w:gridCol w:w="760"/>
        <w:gridCol w:w="2496"/>
        <w:gridCol w:w="4125"/>
        <w:gridCol w:w="1141"/>
      </w:tblGrid>
      <w:tr w:rsidR="004A3CE8" w:rsidRPr="00D445F9" w:rsidTr="00CD54A4">
        <w:trPr>
          <w:trHeight w:val="571"/>
          <w:jc w:val="center"/>
        </w:trPr>
        <w:tc>
          <w:tcPr>
            <w:tcW w:w="786" w:type="dxa"/>
            <w:vAlign w:val="center"/>
          </w:tcPr>
          <w:p w:rsidR="004A3CE8" w:rsidRPr="00D445F9" w:rsidRDefault="004A3CE8" w:rsidP="00CD54A4">
            <w:pPr>
              <w:adjustRightInd w:val="0"/>
              <w:snapToGrid w:val="0"/>
              <w:jc w:val="center"/>
              <w:rPr>
                <w:rFonts w:ascii="宋体" w:hAnsi="宋体" w:hint="eastAsia"/>
                <w:b/>
                <w:sz w:val="24"/>
                <w:szCs w:val="24"/>
              </w:rPr>
            </w:pPr>
            <w:r w:rsidRPr="00D445F9">
              <w:rPr>
                <w:rFonts w:ascii="宋体" w:hAnsi="宋体" w:hint="eastAsia"/>
                <w:b/>
                <w:sz w:val="24"/>
                <w:szCs w:val="24"/>
              </w:rPr>
              <w:t>序号</w:t>
            </w:r>
          </w:p>
        </w:tc>
        <w:tc>
          <w:tcPr>
            <w:tcW w:w="2652" w:type="dxa"/>
            <w:vAlign w:val="center"/>
          </w:tcPr>
          <w:p w:rsidR="004A3CE8" w:rsidRPr="00D445F9" w:rsidRDefault="004A3CE8" w:rsidP="00CD54A4">
            <w:pPr>
              <w:adjustRightInd w:val="0"/>
              <w:snapToGrid w:val="0"/>
              <w:jc w:val="center"/>
              <w:rPr>
                <w:rFonts w:ascii="宋体" w:hAnsi="宋体" w:hint="eastAsia"/>
                <w:b/>
                <w:sz w:val="24"/>
                <w:szCs w:val="24"/>
              </w:rPr>
            </w:pPr>
            <w:r w:rsidRPr="00D445F9">
              <w:rPr>
                <w:rFonts w:ascii="宋体" w:hAnsi="宋体" w:hint="eastAsia"/>
                <w:b/>
                <w:sz w:val="24"/>
                <w:szCs w:val="24"/>
              </w:rPr>
              <w:t>风险分级（一级指标）</w:t>
            </w:r>
          </w:p>
        </w:tc>
        <w:tc>
          <w:tcPr>
            <w:tcW w:w="4422" w:type="dxa"/>
            <w:vAlign w:val="center"/>
          </w:tcPr>
          <w:p w:rsidR="004A3CE8" w:rsidRPr="00D445F9" w:rsidRDefault="004A3CE8" w:rsidP="00CD54A4">
            <w:pPr>
              <w:adjustRightInd w:val="0"/>
              <w:snapToGrid w:val="0"/>
              <w:jc w:val="center"/>
              <w:rPr>
                <w:rFonts w:ascii="宋体" w:hAnsi="宋体" w:hint="eastAsia"/>
                <w:b/>
                <w:sz w:val="24"/>
                <w:szCs w:val="24"/>
              </w:rPr>
            </w:pPr>
            <w:r w:rsidRPr="00D445F9">
              <w:rPr>
                <w:rFonts w:ascii="宋体" w:hAnsi="宋体" w:hint="eastAsia"/>
                <w:b/>
                <w:sz w:val="24"/>
                <w:szCs w:val="24"/>
              </w:rPr>
              <w:t>风险分级（二级指标）</w:t>
            </w:r>
          </w:p>
        </w:tc>
        <w:tc>
          <w:tcPr>
            <w:tcW w:w="1200" w:type="dxa"/>
            <w:vAlign w:val="center"/>
          </w:tcPr>
          <w:p w:rsidR="004A3CE8" w:rsidRPr="00D445F9" w:rsidRDefault="004A3CE8" w:rsidP="00CD54A4">
            <w:pPr>
              <w:adjustRightInd w:val="0"/>
              <w:snapToGrid w:val="0"/>
              <w:jc w:val="center"/>
              <w:rPr>
                <w:rFonts w:ascii="宋体" w:hAnsi="宋体" w:hint="eastAsia"/>
                <w:b/>
                <w:sz w:val="24"/>
                <w:szCs w:val="24"/>
              </w:rPr>
            </w:pPr>
            <w:r w:rsidRPr="00D445F9">
              <w:rPr>
                <w:rFonts w:ascii="宋体" w:hAnsi="宋体" w:hint="eastAsia"/>
                <w:b/>
                <w:sz w:val="24"/>
                <w:szCs w:val="24"/>
              </w:rPr>
              <w:t>扣减分值</w:t>
            </w:r>
          </w:p>
        </w:tc>
      </w:tr>
      <w:tr w:rsidR="004A3CE8" w:rsidTr="00CD54A4">
        <w:trPr>
          <w:trHeight w:val="212"/>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1</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sidRPr="00DE352E">
              <w:rPr>
                <w:rFonts w:ascii="仿宋_GB2312" w:eastAsia="仿宋_GB2312" w:hAnsi="宋体" w:cs="宋体" w:hint="eastAsia"/>
                <w:color w:val="000000"/>
                <w:sz w:val="24"/>
              </w:rPr>
              <w:t>企业因违法违规被处罚情况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违法违规被</w:t>
            </w:r>
            <w:r w:rsidRPr="0099500E">
              <w:rPr>
                <w:rFonts w:ascii="仿宋_GB2312" w:eastAsia="仿宋_GB2312" w:hAnsi="宋体" w:cs="宋体"/>
                <w:color w:val="000000"/>
                <w:sz w:val="24"/>
              </w:rPr>
              <w:t>给予从轻或者减轻处罚</w:t>
            </w:r>
            <w:r w:rsidRPr="0099500E">
              <w:rPr>
                <w:rFonts w:ascii="仿宋_GB2312" w:eastAsia="仿宋_GB2312" w:hAnsi="宋体" w:cs="宋体" w:hint="eastAsia"/>
                <w:color w:val="000000"/>
                <w:sz w:val="24"/>
              </w:rPr>
              <w:t>的</w:t>
            </w:r>
            <w:r>
              <w:rPr>
                <w:rFonts w:ascii="仿宋_GB2312" w:eastAsia="仿宋_GB2312" w:hAnsi="宋体" w:cs="宋体" w:hint="eastAsia"/>
                <w:color w:val="000000"/>
                <w:sz w:val="24"/>
              </w:rPr>
              <w:t>（含警告）</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2</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违法违规被</w:t>
            </w:r>
            <w:r w:rsidRPr="0099500E">
              <w:rPr>
                <w:rFonts w:ascii="仿宋_GB2312" w:eastAsia="仿宋_GB2312" w:hAnsi="宋体" w:cs="宋体"/>
                <w:color w:val="000000"/>
                <w:sz w:val="24"/>
              </w:rPr>
              <w:t>给予一般处罚</w:t>
            </w:r>
            <w:r w:rsidRPr="0099500E">
              <w:rPr>
                <w:rFonts w:ascii="仿宋_GB2312" w:eastAsia="仿宋_GB2312" w:hAnsi="宋体" w:cs="宋体" w:hint="eastAsia"/>
                <w:color w:val="000000"/>
                <w:sz w:val="24"/>
              </w:rPr>
              <w:t>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3</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违法违规被</w:t>
            </w:r>
            <w:r w:rsidRPr="0099500E">
              <w:rPr>
                <w:rFonts w:ascii="仿宋_GB2312" w:eastAsia="仿宋_GB2312" w:hAnsi="宋体" w:cs="宋体"/>
                <w:color w:val="000000"/>
                <w:sz w:val="24"/>
              </w:rPr>
              <w:t>给予从重处罚</w:t>
            </w:r>
            <w:r w:rsidRPr="0099500E">
              <w:rPr>
                <w:rFonts w:ascii="仿宋_GB2312" w:eastAsia="仿宋_GB2312" w:hAnsi="宋体" w:cs="宋体" w:hint="eastAsia"/>
                <w:color w:val="000000"/>
                <w:sz w:val="24"/>
              </w:rPr>
              <w:t>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5</w:t>
            </w:r>
          </w:p>
        </w:tc>
      </w:tr>
      <w:tr w:rsidR="004A3CE8" w:rsidTr="00CD54A4">
        <w:trPr>
          <w:trHeight w:val="318"/>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2</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sidRPr="00DE352E">
              <w:rPr>
                <w:rFonts w:ascii="仿宋_GB2312" w:eastAsia="仿宋_GB2312" w:hAnsi="宋体" w:cs="宋体" w:hint="eastAsia"/>
                <w:color w:val="000000"/>
                <w:sz w:val="24"/>
              </w:rPr>
              <w:t>不良反应报告情况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未收集</w:t>
            </w:r>
            <w:r>
              <w:rPr>
                <w:rFonts w:ascii="仿宋_GB2312" w:eastAsia="仿宋_GB2312" w:hAnsi="宋体" w:cs="宋体" w:hint="eastAsia"/>
                <w:color w:val="000000"/>
                <w:sz w:val="24"/>
              </w:rPr>
              <w:t>公众反映的不良反应信息的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3</w:t>
            </w:r>
          </w:p>
        </w:tc>
      </w:tr>
      <w:tr w:rsidR="004A3CE8" w:rsidTr="00CD54A4">
        <w:trPr>
          <w:trHeight w:val="318"/>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收集不良反应信息但未及时上报的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2</w:t>
            </w:r>
          </w:p>
        </w:tc>
      </w:tr>
      <w:tr w:rsidR="004A3CE8" w:rsidTr="00CD54A4">
        <w:trPr>
          <w:trHeight w:val="212"/>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3</w:t>
            </w:r>
          </w:p>
        </w:tc>
        <w:tc>
          <w:tcPr>
            <w:tcW w:w="2652" w:type="dxa"/>
            <w:vMerge w:val="restart"/>
            <w:vAlign w:val="center"/>
          </w:tcPr>
          <w:p w:rsidR="004A3CE8" w:rsidRPr="00B27D14" w:rsidRDefault="004A3CE8" w:rsidP="00CD54A4">
            <w:pPr>
              <w:widowControl/>
              <w:adjustRightInd w:val="0"/>
              <w:snapToGrid w:val="0"/>
              <w:rPr>
                <w:rFonts w:ascii="仿宋_GB2312" w:eastAsia="仿宋_GB2312" w:hAnsi="宋体" w:cs="宋体"/>
                <w:color w:val="000000"/>
                <w:sz w:val="24"/>
              </w:rPr>
            </w:pPr>
            <w:r w:rsidRPr="00B27D14">
              <w:rPr>
                <w:rFonts w:ascii="仿宋_GB2312" w:eastAsia="仿宋_GB2312" w:hAnsi="宋体" w:cs="宋体" w:hint="eastAsia"/>
                <w:color w:val="000000"/>
                <w:sz w:val="24"/>
              </w:rPr>
              <w:t>GSP运行情况</w:t>
            </w:r>
          </w:p>
        </w:tc>
        <w:tc>
          <w:tcPr>
            <w:tcW w:w="4422" w:type="dxa"/>
            <w:vAlign w:val="center"/>
          </w:tcPr>
          <w:p w:rsidR="004A3CE8" w:rsidRPr="00B27D14" w:rsidRDefault="004A3CE8" w:rsidP="00CD54A4">
            <w:pPr>
              <w:widowControl/>
              <w:adjustRightInd w:val="0"/>
              <w:snapToGrid w:val="0"/>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发现违反GSP规定一般缺陷项1-5项的</w:t>
            </w:r>
          </w:p>
        </w:tc>
        <w:tc>
          <w:tcPr>
            <w:tcW w:w="1200" w:type="dxa"/>
            <w:shd w:val="clear" w:color="auto" w:fill="auto"/>
            <w:vAlign w:val="center"/>
          </w:tcPr>
          <w:p w:rsidR="004A3CE8" w:rsidRPr="00B27D14" w:rsidRDefault="004A3CE8" w:rsidP="00CD54A4">
            <w:pPr>
              <w:widowControl/>
              <w:adjustRightInd w:val="0"/>
              <w:snapToGrid w:val="0"/>
              <w:jc w:val="center"/>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2</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B56B09" w:rsidRDefault="004A3CE8" w:rsidP="00CD54A4">
            <w:pPr>
              <w:widowControl/>
              <w:adjustRightInd w:val="0"/>
              <w:snapToGrid w:val="0"/>
              <w:rPr>
                <w:rFonts w:ascii="仿宋_GB2312" w:eastAsia="仿宋_GB2312" w:hAnsi="宋体" w:cs="宋体" w:hint="eastAsia"/>
                <w:color w:val="FF0000"/>
                <w:sz w:val="24"/>
              </w:rPr>
            </w:pPr>
          </w:p>
        </w:tc>
        <w:tc>
          <w:tcPr>
            <w:tcW w:w="4422" w:type="dxa"/>
            <w:vAlign w:val="center"/>
          </w:tcPr>
          <w:p w:rsidR="004A3CE8" w:rsidRPr="00B27D14" w:rsidRDefault="004A3CE8" w:rsidP="00CD54A4">
            <w:pPr>
              <w:widowControl/>
              <w:adjustRightInd w:val="0"/>
              <w:snapToGrid w:val="0"/>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发现违反GSP规定一般缺陷项6-9项的</w:t>
            </w:r>
          </w:p>
        </w:tc>
        <w:tc>
          <w:tcPr>
            <w:tcW w:w="1200" w:type="dxa"/>
            <w:shd w:val="clear" w:color="auto" w:fill="auto"/>
            <w:vAlign w:val="center"/>
          </w:tcPr>
          <w:p w:rsidR="004A3CE8" w:rsidRPr="00B27D14" w:rsidRDefault="004A3CE8" w:rsidP="00CD54A4">
            <w:pPr>
              <w:widowControl/>
              <w:adjustRightInd w:val="0"/>
              <w:snapToGrid w:val="0"/>
              <w:jc w:val="center"/>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3</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B56B09" w:rsidRDefault="004A3CE8" w:rsidP="00CD54A4">
            <w:pPr>
              <w:widowControl/>
              <w:adjustRightInd w:val="0"/>
              <w:snapToGrid w:val="0"/>
              <w:rPr>
                <w:rFonts w:ascii="仿宋_GB2312" w:eastAsia="仿宋_GB2312" w:hAnsi="宋体" w:cs="宋体" w:hint="eastAsia"/>
                <w:color w:val="FF0000"/>
                <w:sz w:val="24"/>
              </w:rPr>
            </w:pPr>
          </w:p>
        </w:tc>
        <w:tc>
          <w:tcPr>
            <w:tcW w:w="4422" w:type="dxa"/>
            <w:vAlign w:val="center"/>
          </w:tcPr>
          <w:p w:rsidR="004A3CE8" w:rsidRPr="00B27D14" w:rsidRDefault="004A3CE8" w:rsidP="00CD54A4">
            <w:pPr>
              <w:widowControl/>
              <w:adjustRightInd w:val="0"/>
              <w:snapToGrid w:val="0"/>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发现违反GSP规定一般缺陷项10项以上的</w:t>
            </w:r>
          </w:p>
        </w:tc>
        <w:tc>
          <w:tcPr>
            <w:tcW w:w="1200" w:type="dxa"/>
            <w:shd w:val="clear" w:color="auto" w:fill="auto"/>
            <w:vAlign w:val="center"/>
          </w:tcPr>
          <w:p w:rsidR="004A3CE8" w:rsidRPr="00B27D14" w:rsidRDefault="004A3CE8" w:rsidP="00CD54A4">
            <w:pPr>
              <w:widowControl/>
              <w:adjustRightInd w:val="0"/>
              <w:snapToGrid w:val="0"/>
              <w:jc w:val="center"/>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5</w:t>
            </w:r>
          </w:p>
        </w:tc>
      </w:tr>
      <w:tr w:rsidR="004A3CE8" w:rsidTr="00CD54A4">
        <w:trPr>
          <w:trHeight w:val="318"/>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4</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sidRPr="001C4778">
              <w:rPr>
                <w:rFonts w:ascii="仿宋_GB2312" w:eastAsia="仿宋_GB2312" w:hint="eastAsia"/>
                <w:color w:val="000000"/>
                <w:sz w:val="24"/>
              </w:rPr>
              <w:t>互联网药品服务情况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违规发布互联网药品信息的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1</w:t>
            </w:r>
          </w:p>
        </w:tc>
      </w:tr>
      <w:tr w:rsidR="004A3CE8" w:rsidTr="00CD54A4">
        <w:trPr>
          <w:trHeight w:val="318"/>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违规从事互联网药品交易的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4</w:t>
            </w:r>
          </w:p>
        </w:tc>
      </w:tr>
      <w:tr w:rsidR="004A3CE8" w:rsidTr="00CD54A4">
        <w:trPr>
          <w:trHeight w:val="212"/>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5</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sidRPr="001C4778">
              <w:rPr>
                <w:rFonts w:ascii="仿宋_GB2312" w:eastAsia="仿宋_GB2312" w:hint="eastAsia"/>
                <w:color w:val="000000"/>
                <w:sz w:val="24"/>
              </w:rPr>
              <w:t>药学技术人员在职在岗</w:t>
            </w:r>
            <w:r>
              <w:rPr>
                <w:rFonts w:ascii="仿宋_GB2312" w:eastAsia="仿宋_GB2312" w:hint="eastAsia"/>
                <w:color w:val="000000"/>
                <w:sz w:val="24"/>
              </w:rPr>
              <w:t>及变化</w:t>
            </w:r>
            <w:r w:rsidRPr="001C4778">
              <w:rPr>
                <w:rFonts w:ascii="仿宋_GB2312" w:eastAsia="仿宋_GB2312" w:hint="eastAsia"/>
                <w:color w:val="000000"/>
                <w:sz w:val="24"/>
              </w:rPr>
              <w:t>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执业药师和药师</w:t>
            </w:r>
            <w:proofErr w:type="gramStart"/>
            <w:r>
              <w:rPr>
                <w:rFonts w:ascii="仿宋_GB2312" w:eastAsia="仿宋_GB2312" w:hAnsi="宋体" w:cs="宋体" w:hint="eastAsia"/>
                <w:color w:val="000000"/>
                <w:sz w:val="24"/>
              </w:rPr>
              <w:t>不</w:t>
            </w:r>
            <w:proofErr w:type="gramEnd"/>
            <w:r w:rsidRPr="0099500E">
              <w:rPr>
                <w:rFonts w:ascii="仿宋_GB2312" w:eastAsia="仿宋_GB2312" w:hAnsi="宋体" w:cs="宋体" w:hint="eastAsia"/>
                <w:color w:val="000000"/>
                <w:sz w:val="24"/>
              </w:rPr>
              <w:t>在岗，销售处方药的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3</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执业药师和药师发生变化未及时告知监管部门的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1</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质量负责人发生变化未及时告知监管部门的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1</w:t>
            </w:r>
          </w:p>
        </w:tc>
      </w:tr>
      <w:tr w:rsidR="004A3CE8" w:rsidTr="00CD54A4">
        <w:trPr>
          <w:trHeight w:val="318"/>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6</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Pr>
                <w:rFonts w:ascii="仿宋_GB2312" w:eastAsia="仿宋_GB2312" w:hAnsi="宋体" w:cs="宋体" w:hint="eastAsia"/>
                <w:color w:val="000000"/>
                <w:sz w:val="24"/>
              </w:rPr>
              <w:t>药品抽验</w:t>
            </w:r>
            <w:r w:rsidRPr="00DE352E">
              <w:rPr>
                <w:rFonts w:ascii="仿宋_GB2312" w:eastAsia="仿宋_GB2312" w:hAnsi="宋体" w:cs="宋体" w:hint="eastAsia"/>
                <w:color w:val="000000"/>
                <w:sz w:val="24"/>
              </w:rPr>
              <w:t>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药品抽验不合格1-2个产品的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1</w:t>
            </w:r>
          </w:p>
        </w:tc>
      </w:tr>
      <w:tr w:rsidR="004A3CE8" w:rsidTr="00CD54A4">
        <w:trPr>
          <w:trHeight w:val="318"/>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药品抽验不合格</w:t>
            </w:r>
            <w:r>
              <w:rPr>
                <w:rFonts w:ascii="仿宋_GB2312" w:eastAsia="仿宋_GB2312" w:hAnsi="宋体" w:cs="宋体" w:hint="eastAsia"/>
                <w:color w:val="000000"/>
                <w:sz w:val="24"/>
              </w:rPr>
              <w:t>3</w:t>
            </w:r>
            <w:r w:rsidRPr="0099500E">
              <w:rPr>
                <w:rFonts w:ascii="仿宋_GB2312" w:eastAsia="仿宋_GB2312" w:hAnsi="宋体" w:cs="宋体" w:hint="eastAsia"/>
                <w:color w:val="000000"/>
                <w:sz w:val="24"/>
              </w:rPr>
              <w:t>个产品</w:t>
            </w:r>
            <w:r>
              <w:rPr>
                <w:rFonts w:ascii="仿宋_GB2312" w:eastAsia="仿宋_GB2312" w:hAnsi="宋体" w:cs="宋体" w:hint="eastAsia"/>
                <w:color w:val="000000"/>
                <w:sz w:val="24"/>
              </w:rPr>
              <w:t>及</w:t>
            </w:r>
            <w:r w:rsidRPr="0099500E">
              <w:rPr>
                <w:rFonts w:ascii="仿宋_GB2312" w:eastAsia="仿宋_GB2312" w:hAnsi="宋体" w:cs="宋体" w:hint="eastAsia"/>
                <w:color w:val="000000"/>
                <w:sz w:val="24"/>
              </w:rPr>
              <w:t>以上的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4</w:t>
            </w:r>
          </w:p>
        </w:tc>
      </w:tr>
      <w:tr w:rsidR="004A3CE8" w:rsidTr="00CD54A4">
        <w:trPr>
          <w:trHeight w:val="219"/>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7</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Pr>
                <w:rFonts w:ascii="仿宋_GB2312" w:eastAsia="仿宋_GB2312" w:hint="eastAsia"/>
                <w:color w:val="000000"/>
                <w:sz w:val="24"/>
              </w:rPr>
              <w:t>广告和促销行为规范性</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销售发布违法广告药品的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1</w:t>
            </w:r>
          </w:p>
        </w:tc>
      </w:tr>
      <w:tr w:rsidR="004A3CE8" w:rsidTr="00CD54A4">
        <w:trPr>
          <w:trHeight w:val="35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店内宣传违法药品广告的</w:t>
            </w:r>
          </w:p>
        </w:tc>
        <w:tc>
          <w:tcPr>
            <w:tcW w:w="1200" w:type="dxa"/>
            <w:shd w:val="clear" w:color="auto" w:fill="auto"/>
            <w:vAlign w:val="center"/>
          </w:tcPr>
          <w:p w:rsidR="004A3CE8" w:rsidRPr="007B7ACF" w:rsidRDefault="004A3CE8" w:rsidP="00CD54A4">
            <w:pPr>
              <w:adjustRightInd w:val="0"/>
              <w:snapToGrid w:val="0"/>
              <w:jc w:val="center"/>
              <w:rPr>
                <w:rFonts w:ascii="宋体" w:hAnsi="宋体" w:cs="宋体" w:hint="eastAsia"/>
                <w:sz w:val="24"/>
              </w:rPr>
            </w:pPr>
            <w:r>
              <w:rPr>
                <w:rFonts w:ascii="宋体" w:hAnsi="宋体" w:cs="宋体" w:hint="eastAsia"/>
                <w:sz w:val="24"/>
              </w:rPr>
              <w:t>4</w:t>
            </w:r>
          </w:p>
        </w:tc>
      </w:tr>
      <w:tr w:rsidR="004A3CE8" w:rsidTr="00CD54A4">
        <w:trPr>
          <w:trHeight w:val="212"/>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8</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Pr>
                <w:rFonts w:ascii="仿宋_GB2312" w:eastAsia="仿宋_GB2312" w:hint="eastAsia"/>
                <w:color w:val="000000"/>
                <w:sz w:val="24"/>
              </w:rPr>
              <w:t>药学服务规范程度和服务能力</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不符合药学服务</w:t>
            </w:r>
            <w:r>
              <w:rPr>
                <w:rFonts w:ascii="仿宋_GB2312" w:eastAsia="仿宋_GB2312" w:hAnsi="宋体" w:cs="宋体" w:hint="eastAsia"/>
                <w:color w:val="000000"/>
                <w:sz w:val="24"/>
              </w:rPr>
              <w:t>规范</w:t>
            </w:r>
            <w:r w:rsidRPr="0099500E">
              <w:rPr>
                <w:rFonts w:ascii="仿宋_GB2312" w:eastAsia="仿宋_GB2312" w:hAnsi="宋体" w:cs="宋体" w:hint="eastAsia"/>
                <w:color w:val="000000"/>
                <w:sz w:val="24"/>
              </w:rPr>
              <w:t>1-2条的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2</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不符合药学服务</w:t>
            </w:r>
            <w:r>
              <w:rPr>
                <w:rFonts w:ascii="仿宋_GB2312" w:eastAsia="仿宋_GB2312" w:hAnsi="宋体" w:cs="宋体" w:hint="eastAsia"/>
                <w:color w:val="000000"/>
                <w:sz w:val="24"/>
              </w:rPr>
              <w:t>规范</w:t>
            </w:r>
            <w:r w:rsidRPr="0099500E">
              <w:rPr>
                <w:rFonts w:ascii="仿宋_GB2312" w:eastAsia="仿宋_GB2312" w:hAnsi="宋体" w:cs="宋体" w:hint="eastAsia"/>
                <w:color w:val="000000"/>
                <w:sz w:val="24"/>
              </w:rPr>
              <w:t>3-5条的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3</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不符合药学服务</w:t>
            </w:r>
            <w:r>
              <w:rPr>
                <w:rFonts w:ascii="仿宋_GB2312" w:eastAsia="仿宋_GB2312" w:hAnsi="宋体" w:cs="宋体" w:hint="eastAsia"/>
                <w:color w:val="000000"/>
                <w:sz w:val="24"/>
              </w:rPr>
              <w:t>规范</w:t>
            </w:r>
            <w:r w:rsidRPr="0099500E">
              <w:rPr>
                <w:rFonts w:ascii="仿宋_GB2312" w:eastAsia="仿宋_GB2312" w:hAnsi="宋体" w:cs="宋体" w:hint="eastAsia"/>
                <w:color w:val="000000"/>
                <w:sz w:val="24"/>
              </w:rPr>
              <w:t>5条以上的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5</w:t>
            </w:r>
          </w:p>
        </w:tc>
      </w:tr>
      <w:tr w:rsidR="004A3CE8" w:rsidTr="00CD54A4">
        <w:trPr>
          <w:trHeight w:val="212"/>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9</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sidRPr="00DE352E">
              <w:rPr>
                <w:rFonts w:ascii="仿宋_GB2312" w:eastAsia="仿宋_GB2312" w:hAnsi="宋体" w:cs="宋体" w:hint="eastAsia"/>
                <w:color w:val="000000"/>
                <w:sz w:val="24"/>
              </w:rPr>
              <w:t>进货渠道管理</w:t>
            </w:r>
            <w:r>
              <w:rPr>
                <w:rFonts w:ascii="仿宋_GB2312" w:eastAsia="仿宋_GB2312" w:hAnsi="宋体" w:cs="宋体" w:hint="eastAsia"/>
                <w:color w:val="000000"/>
                <w:sz w:val="24"/>
              </w:rPr>
              <w:t>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购进渠道分散，不易管理的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1</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现金直接购进药品的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3</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99500E">
              <w:rPr>
                <w:rFonts w:ascii="仿宋_GB2312" w:eastAsia="仿宋_GB2312" w:hAnsi="宋体" w:cs="宋体" w:hint="eastAsia"/>
                <w:color w:val="000000"/>
                <w:sz w:val="24"/>
              </w:rPr>
              <w:t>药品购进渠道</w:t>
            </w:r>
            <w:r>
              <w:rPr>
                <w:rFonts w:ascii="仿宋_GB2312" w:eastAsia="仿宋_GB2312" w:hAnsi="宋体" w:cs="宋体" w:hint="eastAsia"/>
                <w:color w:val="000000"/>
                <w:sz w:val="24"/>
              </w:rPr>
              <w:t>不可追溯的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6</w:t>
            </w:r>
          </w:p>
        </w:tc>
      </w:tr>
      <w:tr w:rsidR="004A3CE8" w:rsidTr="00CD54A4">
        <w:trPr>
          <w:trHeight w:val="359"/>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Pr>
                <w:rFonts w:ascii="仿宋_GB2312" w:eastAsia="仿宋_GB2312" w:hAnsi="宋体" w:cs="宋体" w:hint="eastAsia"/>
                <w:color w:val="000000"/>
                <w:sz w:val="24"/>
              </w:rPr>
              <w:t>10</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Pr>
                <w:rFonts w:ascii="仿宋_GB2312" w:eastAsia="仿宋_GB2312" w:hint="eastAsia"/>
                <w:color w:val="000000"/>
                <w:sz w:val="24"/>
              </w:rPr>
              <w:t>被</w:t>
            </w:r>
            <w:r w:rsidRPr="001C4778">
              <w:rPr>
                <w:rFonts w:ascii="仿宋_GB2312" w:eastAsia="仿宋_GB2312" w:hint="eastAsia"/>
                <w:color w:val="000000"/>
                <w:sz w:val="24"/>
              </w:rPr>
              <w:t>投诉举报情况</w:t>
            </w:r>
            <w:r>
              <w:rPr>
                <w:rFonts w:ascii="仿宋_GB2312" w:eastAsia="仿宋_GB2312" w:hint="eastAsia"/>
                <w:color w:val="000000"/>
                <w:sz w:val="24"/>
              </w:rPr>
              <w:t>和被媒体曝光情况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经核实属实，被投诉药学服务的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2</w:t>
            </w:r>
          </w:p>
        </w:tc>
      </w:tr>
      <w:tr w:rsidR="004A3CE8" w:rsidTr="00CD54A4">
        <w:trPr>
          <w:trHeight w:val="217"/>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Pr>
                <w:rFonts w:ascii="仿宋_GB2312" w:eastAsia="仿宋_GB2312" w:hAnsi="宋体" w:cs="宋体" w:hint="eastAsia"/>
                <w:color w:val="000000"/>
                <w:sz w:val="24"/>
              </w:rPr>
              <w:t>经核实属实，被投诉药品质量的</w:t>
            </w:r>
          </w:p>
        </w:tc>
        <w:tc>
          <w:tcPr>
            <w:tcW w:w="1200" w:type="dxa"/>
            <w:shd w:val="clear" w:color="auto" w:fill="auto"/>
            <w:vAlign w:val="center"/>
          </w:tcPr>
          <w:p w:rsidR="004A3CE8"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3</w:t>
            </w:r>
          </w:p>
        </w:tc>
      </w:tr>
      <w:tr w:rsidR="004A3CE8" w:rsidTr="00CD54A4">
        <w:trPr>
          <w:trHeight w:val="217"/>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F05784" w:rsidRDefault="004A3CE8" w:rsidP="00CD54A4">
            <w:pPr>
              <w:widowControl/>
              <w:adjustRightInd w:val="0"/>
              <w:snapToGrid w:val="0"/>
              <w:rPr>
                <w:rFonts w:ascii="仿宋_GB2312" w:eastAsia="仿宋_GB2312" w:hAnsi="宋体" w:cs="宋体" w:hint="eastAsia"/>
                <w:color w:val="FF0000"/>
                <w:sz w:val="24"/>
              </w:rPr>
            </w:pPr>
            <w:r w:rsidRPr="00644770">
              <w:rPr>
                <w:rFonts w:ascii="仿宋_GB2312" w:eastAsia="仿宋_GB2312" w:hAnsi="宋体" w:cs="宋体" w:hint="eastAsia"/>
                <w:color w:val="000000"/>
                <w:sz w:val="24"/>
              </w:rPr>
              <w:t>违规经营，被媒体曝光的</w:t>
            </w:r>
          </w:p>
        </w:tc>
        <w:tc>
          <w:tcPr>
            <w:tcW w:w="1200" w:type="dxa"/>
            <w:shd w:val="clear" w:color="auto" w:fill="auto"/>
            <w:vAlign w:val="center"/>
          </w:tcPr>
          <w:p w:rsidR="004A3CE8"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5</w:t>
            </w:r>
          </w:p>
        </w:tc>
      </w:tr>
      <w:tr w:rsidR="004A3CE8" w:rsidTr="00CD54A4">
        <w:trPr>
          <w:trHeight w:val="212"/>
          <w:jc w:val="center"/>
        </w:trPr>
        <w:tc>
          <w:tcPr>
            <w:tcW w:w="786" w:type="dxa"/>
            <w:vMerge w:val="restart"/>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t>1</w:t>
            </w:r>
            <w:r>
              <w:rPr>
                <w:rFonts w:ascii="仿宋_GB2312" w:eastAsia="仿宋_GB2312" w:hAnsi="宋体" w:cs="宋体" w:hint="eastAsia"/>
                <w:color w:val="000000"/>
                <w:sz w:val="24"/>
              </w:rPr>
              <w:t>1</w:t>
            </w:r>
          </w:p>
        </w:tc>
        <w:tc>
          <w:tcPr>
            <w:tcW w:w="2652" w:type="dxa"/>
            <w:vMerge w:val="restart"/>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Pr>
                <w:rFonts w:ascii="仿宋_GB2312" w:eastAsia="仿宋_GB2312" w:hint="eastAsia"/>
                <w:color w:val="000000"/>
                <w:sz w:val="24"/>
              </w:rPr>
              <w:t>执业药师、药师违规计分情况</w:t>
            </w: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DE352E">
              <w:rPr>
                <w:rFonts w:ascii="仿宋_GB2312" w:eastAsia="仿宋_GB2312" w:hAnsi="宋体" w:cs="宋体" w:hint="eastAsia"/>
                <w:color w:val="000000"/>
                <w:sz w:val="24"/>
              </w:rPr>
              <w:t>执业药师、药师违规计分</w:t>
            </w:r>
            <w:r>
              <w:rPr>
                <w:rFonts w:ascii="仿宋_GB2312" w:eastAsia="仿宋_GB2312" w:hAnsi="宋体" w:cs="宋体" w:hint="eastAsia"/>
                <w:color w:val="000000"/>
                <w:sz w:val="24"/>
              </w:rPr>
              <w:t>1-5分的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2</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DE352E">
              <w:rPr>
                <w:rFonts w:ascii="仿宋_GB2312" w:eastAsia="仿宋_GB2312" w:hAnsi="宋体" w:cs="宋体" w:hint="eastAsia"/>
                <w:color w:val="000000"/>
                <w:sz w:val="24"/>
              </w:rPr>
              <w:t>执业药师、药师违规计分</w:t>
            </w:r>
            <w:r>
              <w:rPr>
                <w:rFonts w:ascii="仿宋_GB2312" w:eastAsia="仿宋_GB2312" w:hAnsi="宋体" w:cs="宋体" w:hint="eastAsia"/>
                <w:color w:val="000000"/>
                <w:sz w:val="24"/>
              </w:rPr>
              <w:t>6-11分的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3</w:t>
            </w:r>
          </w:p>
        </w:tc>
      </w:tr>
      <w:tr w:rsidR="004A3CE8" w:rsidTr="00CD54A4">
        <w:trPr>
          <w:trHeight w:val="212"/>
          <w:jc w:val="center"/>
        </w:trPr>
        <w:tc>
          <w:tcPr>
            <w:tcW w:w="786" w:type="dxa"/>
            <w:vMerge/>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p>
        </w:tc>
        <w:tc>
          <w:tcPr>
            <w:tcW w:w="2652" w:type="dxa"/>
            <w:vMerge/>
            <w:vAlign w:val="center"/>
          </w:tcPr>
          <w:p w:rsidR="004A3CE8" w:rsidRPr="00DE352E" w:rsidRDefault="004A3CE8" w:rsidP="00CD54A4">
            <w:pPr>
              <w:widowControl/>
              <w:adjustRightInd w:val="0"/>
              <w:snapToGrid w:val="0"/>
              <w:rPr>
                <w:rFonts w:ascii="仿宋_GB2312" w:eastAsia="仿宋_GB2312" w:hAnsi="宋体" w:cs="宋体" w:hint="eastAsia"/>
                <w:color w:val="000000"/>
                <w:sz w:val="24"/>
              </w:rPr>
            </w:pPr>
          </w:p>
        </w:tc>
        <w:tc>
          <w:tcPr>
            <w:tcW w:w="4422" w:type="dxa"/>
            <w:vAlign w:val="center"/>
          </w:tcPr>
          <w:p w:rsidR="004A3CE8" w:rsidRPr="0099500E" w:rsidRDefault="004A3CE8" w:rsidP="00CD54A4">
            <w:pPr>
              <w:widowControl/>
              <w:adjustRightInd w:val="0"/>
              <w:snapToGrid w:val="0"/>
              <w:rPr>
                <w:rFonts w:ascii="仿宋_GB2312" w:eastAsia="仿宋_GB2312" w:hAnsi="宋体" w:cs="宋体" w:hint="eastAsia"/>
                <w:color w:val="000000"/>
                <w:sz w:val="24"/>
              </w:rPr>
            </w:pPr>
            <w:r w:rsidRPr="00DE352E">
              <w:rPr>
                <w:rFonts w:ascii="仿宋_GB2312" w:eastAsia="仿宋_GB2312" w:hAnsi="宋体" w:cs="宋体" w:hint="eastAsia"/>
                <w:color w:val="000000"/>
                <w:sz w:val="24"/>
              </w:rPr>
              <w:t>执业药师、药师违规计分</w:t>
            </w:r>
            <w:r>
              <w:rPr>
                <w:rFonts w:ascii="仿宋_GB2312" w:eastAsia="仿宋_GB2312" w:hAnsi="宋体" w:cs="宋体" w:hint="eastAsia"/>
                <w:color w:val="000000"/>
                <w:sz w:val="24"/>
              </w:rPr>
              <w:t>12分及以上的</w:t>
            </w:r>
          </w:p>
        </w:tc>
        <w:tc>
          <w:tcPr>
            <w:tcW w:w="1200" w:type="dxa"/>
            <w:shd w:val="clear" w:color="auto" w:fill="auto"/>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5</w:t>
            </w:r>
          </w:p>
        </w:tc>
      </w:tr>
      <w:tr w:rsidR="004A3CE8" w:rsidTr="00CD54A4">
        <w:trPr>
          <w:trHeight w:val="950"/>
          <w:jc w:val="center"/>
        </w:trPr>
        <w:tc>
          <w:tcPr>
            <w:tcW w:w="786" w:type="dxa"/>
            <w:vAlign w:val="center"/>
          </w:tcPr>
          <w:p w:rsidR="004A3CE8" w:rsidRPr="00B27D14" w:rsidRDefault="004A3CE8" w:rsidP="00CD54A4">
            <w:pPr>
              <w:adjustRightInd w:val="0"/>
              <w:snapToGrid w:val="0"/>
              <w:jc w:val="center"/>
              <w:rPr>
                <w:rFonts w:ascii="仿宋_GB2312" w:eastAsia="仿宋_GB2312" w:hAnsi="宋体" w:cs="宋体" w:hint="eastAsia"/>
                <w:color w:val="000000"/>
                <w:sz w:val="24"/>
              </w:rPr>
            </w:pPr>
            <w:r w:rsidRPr="00B27D14">
              <w:rPr>
                <w:rFonts w:ascii="仿宋_GB2312" w:eastAsia="仿宋_GB2312" w:hAnsi="宋体" w:cs="宋体" w:hint="eastAsia"/>
                <w:color w:val="000000"/>
                <w:sz w:val="24"/>
              </w:rPr>
              <w:lastRenderedPageBreak/>
              <w:t>1</w:t>
            </w:r>
            <w:r>
              <w:rPr>
                <w:rFonts w:ascii="仿宋_GB2312" w:eastAsia="仿宋_GB2312" w:hAnsi="宋体" w:cs="宋体" w:hint="eastAsia"/>
                <w:color w:val="000000"/>
                <w:sz w:val="24"/>
              </w:rPr>
              <w:t>2</w:t>
            </w:r>
          </w:p>
        </w:tc>
        <w:tc>
          <w:tcPr>
            <w:tcW w:w="2652" w:type="dxa"/>
            <w:vAlign w:val="center"/>
          </w:tcPr>
          <w:p w:rsidR="004A3CE8" w:rsidRPr="00DE352E" w:rsidRDefault="004A3CE8" w:rsidP="00CD54A4">
            <w:pPr>
              <w:widowControl/>
              <w:adjustRightInd w:val="0"/>
              <w:snapToGrid w:val="0"/>
              <w:rPr>
                <w:rFonts w:ascii="仿宋_GB2312" w:eastAsia="仿宋_GB2312" w:hAnsi="宋体" w:cs="宋体"/>
                <w:color w:val="000000"/>
                <w:sz w:val="24"/>
              </w:rPr>
            </w:pPr>
            <w:r w:rsidRPr="00DE352E">
              <w:rPr>
                <w:rFonts w:ascii="仿宋_GB2312" w:eastAsia="仿宋_GB2312" w:hAnsi="宋体" w:cs="宋体" w:hint="eastAsia"/>
                <w:color w:val="000000"/>
                <w:sz w:val="24"/>
              </w:rPr>
              <w:t>辖区食品药品监督管理部门认为需要增加的其它指标</w:t>
            </w:r>
          </w:p>
        </w:tc>
        <w:tc>
          <w:tcPr>
            <w:tcW w:w="4422" w:type="dxa"/>
            <w:vAlign w:val="center"/>
          </w:tcPr>
          <w:p w:rsidR="004A3CE8" w:rsidRPr="007B7ACF" w:rsidRDefault="004A3CE8" w:rsidP="00CD54A4">
            <w:pPr>
              <w:widowControl/>
              <w:adjustRightInd w:val="0"/>
              <w:snapToGrid w:val="0"/>
              <w:rPr>
                <w:rFonts w:ascii="宋体" w:hAnsi="宋体" w:cs="宋体" w:hint="eastAsia"/>
                <w:sz w:val="24"/>
              </w:rPr>
            </w:pPr>
          </w:p>
        </w:tc>
        <w:tc>
          <w:tcPr>
            <w:tcW w:w="1200" w:type="dxa"/>
            <w:vAlign w:val="center"/>
          </w:tcPr>
          <w:p w:rsidR="004A3CE8" w:rsidRPr="007B7ACF" w:rsidRDefault="004A3CE8" w:rsidP="00CD54A4">
            <w:pPr>
              <w:widowControl/>
              <w:adjustRightInd w:val="0"/>
              <w:snapToGrid w:val="0"/>
              <w:jc w:val="center"/>
              <w:rPr>
                <w:rFonts w:ascii="宋体" w:hAnsi="宋体" w:cs="宋体" w:hint="eastAsia"/>
                <w:sz w:val="24"/>
              </w:rPr>
            </w:pPr>
            <w:r>
              <w:rPr>
                <w:rFonts w:ascii="宋体" w:hAnsi="宋体" w:cs="宋体" w:hint="eastAsia"/>
                <w:sz w:val="24"/>
              </w:rPr>
              <w:t>15</w:t>
            </w:r>
          </w:p>
        </w:tc>
      </w:tr>
    </w:tbl>
    <w:p w:rsidR="004A3CE8" w:rsidRDefault="004A3CE8" w:rsidP="004A3CE8">
      <w:pPr>
        <w:spacing w:line="560" w:lineRule="exact"/>
        <w:rPr>
          <w:rFonts w:ascii="仿宋_GB2312" w:eastAsia="仿宋_GB2312" w:hAnsi="宋体" w:hint="eastAsia"/>
          <w:sz w:val="32"/>
          <w:szCs w:val="32"/>
        </w:rPr>
      </w:pPr>
    </w:p>
    <w:p w:rsidR="004A3CE8" w:rsidRDefault="004A3CE8" w:rsidP="004A3CE8">
      <w:pPr>
        <w:spacing w:line="560" w:lineRule="exact"/>
        <w:rPr>
          <w:rFonts w:ascii="仿宋_GB2312" w:eastAsia="仿宋_GB2312" w:hAnsi="宋体" w:hint="eastAsia"/>
          <w:sz w:val="32"/>
          <w:szCs w:val="32"/>
        </w:rPr>
      </w:pPr>
    </w:p>
    <w:p w:rsidR="004A3CE8" w:rsidRDefault="004A3CE8" w:rsidP="004A3CE8">
      <w:pPr>
        <w:spacing w:line="560" w:lineRule="exact"/>
        <w:rPr>
          <w:rFonts w:ascii="仿宋_GB2312" w:eastAsia="仿宋_GB2312" w:hAnsi="宋体" w:hint="eastAsia"/>
          <w:sz w:val="32"/>
          <w:szCs w:val="32"/>
        </w:rPr>
      </w:pPr>
    </w:p>
    <w:p w:rsidR="004A3CE8" w:rsidRDefault="004A3CE8" w:rsidP="004A3CE8">
      <w:pPr>
        <w:spacing w:line="560" w:lineRule="exact"/>
        <w:rPr>
          <w:rFonts w:ascii="仿宋_GB2312" w:eastAsia="仿宋_GB2312" w:hAnsi="宋体" w:hint="eastAsia"/>
          <w:sz w:val="32"/>
          <w:szCs w:val="32"/>
        </w:rPr>
      </w:pPr>
    </w:p>
    <w:p w:rsidR="004A3CE8" w:rsidRDefault="004A3CE8" w:rsidP="004A3CE8">
      <w:pPr>
        <w:spacing w:line="560" w:lineRule="exact"/>
        <w:rPr>
          <w:rFonts w:ascii="仿宋_GB2312" w:eastAsia="仿宋_GB2312" w:hAnsi="宋体" w:hint="eastAsia"/>
          <w:sz w:val="32"/>
          <w:szCs w:val="32"/>
        </w:rPr>
      </w:pPr>
    </w:p>
    <w:p w:rsidR="004A3CE8" w:rsidRDefault="004A3CE8" w:rsidP="004A3CE8">
      <w:pPr>
        <w:spacing w:line="560" w:lineRule="exact"/>
        <w:rPr>
          <w:rFonts w:ascii="仿宋_GB2312" w:eastAsia="仿宋_GB2312" w:hAnsi="宋体" w:hint="eastAsia"/>
          <w:sz w:val="32"/>
          <w:szCs w:val="32"/>
        </w:rPr>
      </w:pPr>
    </w:p>
    <w:p w:rsidR="004A3CE8" w:rsidRDefault="004A3CE8" w:rsidP="004A3CE8">
      <w:pPr>
        <w:spacing w:line="560" w:lineRule="exact"/>
        <w:rPr>
          <w:rFonts w:ascii="仿宋_GB2312" w:eastAsia="仿宋_GB2312" w:hAnsi="宋体" w:hint="eastAsia"/>
          <w:sz w:val="32"/>
          <w:szCs w:val="32"/>
        </w:rPr>
      </w:pPr>
    </w:p>
    <w:p w:rsidR="004B0DD2" w:rsidRDefault="004B0DD2">
      <w:bookmarkStart w:id="0" w:name="_GoBack"/>
      <w:bookmarkEnd w:id="0"/>
    </w:p>
    <w:sectPr w:rsidR="004B0D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B7" w:rsidRPr="003B5C28" w:rsidRDefault="004A3CE8" w:rsidP="00F20EB7">
    <w:pPr>
      <w:pStyle w:val="a3"/>
      <w:framePr w:w="1406" w:wrap="around" w:vAnchor="text" w:hAnchor="margin" w:xAlign="outside" w:y="1"/>
      <w:ind w:right="140"/>
      <w:jc w:val="right"/>
      <w:rPr>
        <w:rStyle w:val="a4"/>
        <w:rFonts w:ascii="宋体" w:hAnsi="宋体" w:hint="eastAsia"/>
        <w:sz w:val="28"/>
        <w:szCs w:val="28"/>
      </w:rPr>
    </w:pPr>
    <w:r>
      <w:rPr>
        <w:rStyle w:val="a4"/>
        <w:rFonts w:ascii="宋体" w:hAnsi="宋体" w:hint="eastAsia"/>
        <w:sz w:val="28"/>
        <w:szCs w:val="28"/>
      </w:rPr>
      <w:t>—</w:t>
    </w:r>
    <w:r>
      <w:rPr>
        <w:rStyle w:val="a4"/>
        <w:rFonts w:ascii="宋体" w:hAnsi="宋体" w:hint="eastAsia"/>
        <w:sz w:val="28"/>
        <w:szCs w:val="28"/>
      </w:rPr>
      <w:t xml:space="preserve"> </w:t>
    </w:r>
    <w:r w:rsidRPr="003B5C28">
      <w:rPr>
        <w:rStyle w:val="a4"/>
        <w:rFonts w:ascii="宋体" w:hAnsi="宋体"/>
        <w:sz w:val="28"/>
        <w:szCs w:val="28"/>
      </w:rPr>
      <w:fldChar w:fldCharType="begin"/>
    </w:r>
    <w:r w:rsidRPr="003B5C28">
      <w:rPr>
        <w:rStyle w:val="a4"/>
        <w:rFonts w:ascii="宋体" w:hAnsi="宋体"/>
        <w:sz w:val="28"/>
        <w:szCs w:val="28"/>
      </w:rPr>
      <w:instrText xml:space="preserve">PAGE  </w:instrText>
    </w:r>
    <w:r w:rsidRPr="003B5C28">
      <w:rPr>
        <w:rStyle w:val="a4"/>
        <w:rFonts w:ascii="宋体" w:hAnsi="宋体"/>
        <w:sz w:val="28"/>
        <w:szCs w:val="28"/>
      </w:rPr>
      <w:fldChar w:fldCharType="separate"/>
    </w:r>
    <w:r>
      <w:rPr>
        <w:rStyle w:val="a4"/>
        <w:rFonts w:ascii="宋体" w:hAnsi="宋体"/>
        <w:noProof/>
        <w:sz w:val="28"/>
        <w:szCs w:val="28"/>
      </w:rPr>
      <w:t>8</w:t>
    </w:r>
    <w:r w:rsidRPr="003B5C28">
      <w:rPr>
        <w:rStyle w:val="a4"/>
        <w:rFonts w:ascii="宋体" w:hAnsi="宋体"/>
        <w:sz w:val="28"/>
        <w:szCs w:val="28"/>
      </w:rPr>
      <w:fldChar w:fldCharType="end"/>
    </w:r>
    <w:r>
      <w:rPr>
        <w:rStyle w:val="a4"/>
        <w:rFonts w:ascii="宋体" w:hAnsi="宋体" w:hint="eastAsia"/>
        <w:sz w:val="28"/>
        <w:szCs w:val="28"/>
      </w:rPr>
      <w:t xml:space="preserve"> </w:t>
    </w:r>
    <w:r>
      <w:rPr>
        <w:rStyle w:val="a4"/>
        <w:rFonts w:ascii="宋体" w:hAnsi="宋体" w:hint="eastAsia"/>
        <w:sz w:val="28"/>
        <w:szCs w:val="28"/>
      </w:rPr>
      <w:t>—</w:t>
    </w:r>
  </w:p>
  <w:p w:rsidR="00F20EB7" w:rsidRDefault="004A3C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B7" w:rsidRPr="007534CA" w:rsidRDefault="004A3CE8" w:rsidP="00F20EB7">
    <w:pPr>
      <w:pStyle w:val="a3"/>
      <w:framePr w:w="1264" w:wrap="around" w:vAnchor="text" w:hAnchor="page" w:x="9186" w:y="1"/>
      <w:rPr>
        <w:rStyle w:val="a4"/>
        <w:rFonts w:ascii="仿宋_GB2312" w:hint="eastAsia"/>
        <w:sz w:val="28"/>
        <w:szCs w:val="28"/>
      </w:rPr>
    </w:pPr>
    <w:r w:rsidRPr="007534CA">
      <w:rPr>
        <w:rStyle w:val="a4"/>
        <w:rFonts w:ascii="仿宋_GB2312" w:hint="eastAsia"/>
        <w:kern w:val="0"/>
        <w:sz w:val="28"/>
        <w:szCs w:val="28"/>
      </w:rPr>
      <w:t>—</w:t>
    </w:r>
    <w:r w:rsidRPr="007534CA">
      <w:rPr>
        <w:rStyle w:val="a4"/>
        <w:rFonts w:ascii="仿宋_GB2312"/>
        <w:kern w:val="0"/>
        <w:sz w:val="28"/>
        <w:szCs w:val="28"/>
      </w:rPr>
      <w:t xml:space="preserve"> </w:t>
    </w:r>
    <w:r w:rsidRPr="007534CA">
      <w:rPr>
        <w:rStyle w:val="a4"/>
        <w:rFonts w:ascii="宋体" w:hAnsi="宋体"/>
        <w:kern w:val="0"/>
        <w:sz w:val="28"/>
        <w:szCs w:val="28"/>
      </w:rPr>
      <w:fldChar w:fldCharType="begin"/>
    </w:r>
    <w:r w:rsidRPr="007534CA">
      <w:rPr>
        <w:rStyle w:val="a4"/>
        <w:rFonts w:ascii="宋体" w:hAnsi="宋体"/>
        <w:kern w:val="0"/>
        <w:sz w:val="28"/>
        <w:szCs w:val="28"/>
      </w:rPr>
      <w:instrText xml:space="preserve"> PAGE </w:instrText>
    </w:r>
    <w:r w:rsidRPr="007534CA">
      <w:rPr>
        <w:rStyle w:val="a4"/>
        <w:rFonts w:ascii="宋体" w:hAnsi="宋体"/>
        <w:kern w:val="0"/>
        <w:sz w:val="28"/>
        <w:szCs w:val="28"/>
      </w:rPr>
      <w:fldChar w:fldCharType="separate"/>
    </w:r>
    <w:r>
      <w:rPr>
        <w:rStyle w:val="a4"/>
        <w:rFonts w:ascii="宋体" w:hAnsi="宋体"/>
        <w:noProof/>
        <w:kern w:val="0"/>
        <w:sz w:val="28"/>
        <w:szCs w:val="28"/>
      </w:rPr>
      <w:t>9</w:t>
    </w:r>
    <w:r w:rsidRPr="007534CA">
      <w:rPr>
        <w:rStyle w:val="a4"/>
        <w:rFonts w:ascii="宋体" w:hAnsi="宋体"/>
        <w:kern w:val="0"/>
        <w:sz w:val="28"/>
        <w:szCs w:val="28"/>
      </w:rPr>
      <w:fldChar w:fldCharType="end"/>
    </w:r>
    <w:r w:rsidRPr="007534CA">
      <w:rPr>
        <w:rStyle w:val="a4"/>
        <w:rFonts w:ascii="宋体" w:hAnsi="宋体"/>
        <w:kern w:val="0"/>
        <w:sz w:val="28"/>
        <w:szCs w:val="28"/>
      </w:rPr>
      <w:t xml:space="preserve"> </w:t>
    </w:r>
    <w:r w:rsidRPr="007534CA">
      <w:rPr>
        <w:rStyle w:val="a4"/>
        <w:rFonts w:ascii="仿宋_GB2312" w:hint="eastAsia"/>
        <w:kern w:val="0"/>
        <w:sz w:val="28"/>
        <w:szCs w:val="28"/>
      </w:rPr>
      <w:t>—</w:t>
    </w:r>
    <w:r>
      <w:rPr>
        <w:rStyle w:val="a4"/>
        <w:rFonts w:ascii="仿宋_GB2312" w:hint="eastAsia"/>
        <w:kern w:val="0"/>
        <w:sz w:val="28"/>
        <w:szCs w:val="28"/>
      </w:rPr>
      <w:t xml:space="preserve">　</w:t>
    </w:r>
  </w:p>
  <w:p w:rsidR="00F20EB7" w:rsidRDefault="004A3CE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E8"/>
    <w:rsid w:val="00007D7F"/>
    <w:rsid w:val="00014F96"/>
    <w:rsid w:val="000152EC"/>
    <w:rsid w:val="00015A05"/>
    <w:rsid w:val="00016AB9"/>
    <w:rsid w:val="0002658C"/>
    <w:rsid w:val="00026DF5"/>
    <w:rsid w:val="00047500"/>
    <w:rsid w:val="00057E8E"/>
    <w:rsid w:val="0007078D"/>
    <w:rsid w:val="000C5F95"/>
    <w:rsid w:val="000D60EA"/>
    <w:rsid w:val="000F2F71"/>
    <w:rsid w:val="000F57BD"/>
    <w:rsid w:val="000F66DE"/>
    <w:rsid w:val="00114AA1"/>
    <w:rsid w:val="00127EEE"/>
    <w:rsid w:val="00133CE3"/>
    <w:rsid w:val="00136B0C"/>
    <w:rsid w:val="0016088B"/>
    <w:rsid w:val="00166A65"/>
    <w:rsid w:val="00172B2C"/>
    <w:rsid w:val="001A2C55"/>
    <w:rsid w:val="001B048B"/>
    <w:rsid w:val="001C4AE3"/>
    <w:rsid w:val="001E797B"/>
    <w:rsid w:val="00206B34"/>
    <w:rsid w:val="00233FC7"/>
    <w:rsid w:val="00242829"/>
    <w:rsid w:val="00244B87"/>
    <w:rsid w:val="00247436"/>
    <w:rsid w:val="00252CB4"/>
    <w:rsid w:val="00272E4A"/>
    <w:rsid w:val="002944CE"/>
    <w:rsid w:val="00297B15"/>
    <w:rsid w:val="002A7CA8"/>
    <w:rsid w:val="002B4F8F"/>
    <w:rsid w:val="002D6901"/>
    <w:rsid w:val="002F4F74"/>
    <w:rsid w:val="00302A97"/>
    <w:rsid w:val="003447D9"/>
    <w:rsid w:val="0035549C"/>
    <w:rsid w:val="00360A38"/>
    <w:rsid w:val="00362CA5"/>
    <w:rsid w:val="003662BC"/>
    <w:rsid w:val="0037040B"/>
    <w:rsid w:val="0037723B"/>
    <w:rsid w:val="003773CD"/>
    <w:rsid w:val="00385026"/>
    <w:rsid w:val="00390C2F"/>
    <w:rsid w:val="00393306"/>
    <w:rsid w:val="00397C5A"/>
    <w:rsid w:val="003A6B33"/>
    <w:rsid w:val="003D09F9"/>
    <w:rsid w:val="003D4903"/>
    <w:rsid w:val="00420528"/>
    <w:rsid w:val="00422893"/>
    <w:rsid w:val="00432631"/>
    <w:rsid w:val="00440396"/>
    <w:rsid w:val="004409E2"/>
    <w:rsid w:val="00440F62"/>
    <w:rsid w:val="00444F96"/>
    <w:rsid w:val="00447AC8"/>
    <w:rsid w:val="0045776D"/>
    <w:rsid w:val="00470F46"/>
    <w:rsid w:val="00474512"/>
    <w:rsid w:val="004846CA"/>
    <w:rsid w:val="0049731B"/>
    <w:rsid w:val="004A3CE8"/>
    <w:rsid w:val="004B0DD2"/>
    <w:rsid w:val="004B4E80"/>
    <w:rsid w:val="004D1C41"/>
    <w:rsid w:val="0050790C"/>
    <w:rsid w:val="0051095A"/>
    <w:rsid w:val="00515B24"/>
    <w:rsid w:val="00524C15"/>
    <w:rsid w:val="00531BCD"/>
    <w:rsid w:val="00543107"/>
    <w:rsid w:val="00577B3E"/>
    <w:rsid w:val="00583670"/>
    <w:rsid w:val="00587691"/>
    <w:rsid w:val="00592BDE"/>
    <w:rsid w:val="005C023F"/>
    <w:rsid w:val="005D6B4F"/>
    <w:rsid w:val="005E3E2B"/>
    <w:rsid w:val="005E4C6D"/>
    <w:rsid w:val="006127A6"/>
    <w:rsid w:val="00626F07"/>
    <w:rsid w:val="006277B5"/>
    <w:rsid w:val="00640A7A"/>
    <w:rsid w:val="00646D43"/>
    <w:rsid w:val="00651641"/>
    <w:rsid w:val="00660705"/>
    <w:rsid w:val="00670DD2"/>
    <w:rsid w:val="00673217"/>
    <w:rsid w:val="00681375"/>
    <w:rsid w:val="006B00A1"/>
    <w:rsid w:val="006B49AA"/>
    <w:rsid w:val="006B6603"/>
    <w:rsid w:val="006D1B5B"/>
    <w:rsid w:val="006F343E"/>
    <w:rsid w:val="006F6F71"/>
    <w:rsid w:val="00720C2C"/>
    <w:rsid w:val="0073557F"/>
    <w:rsid w:val="00744896"/>
    <w:rsid w:val="007601B8"/>
    <w:rsid w:val="00764F3D"/>
    <w:rsid w:val="00771DAF"/>
    <w:rsid w:val="00786B2E"/>
    <w:rsid w:val="007A1B47"/>
    <w:rsid w:val="007A5689"/>
    <w:rsid w:val="007B651F"/>
    <w:rsid w:val="007B65CB"/>
    <w:rsid w:val="007D205F"/>
    <w:rsid w:val="007E75C4"/>
    <w:rsid w:val="007F3063"/>
    <w:rsid w:val="00811DB6"/>
    <w:rsid w:val="00815149"/>
    <w:rsid w:val="00824A66"/>
    <w:rsid w:val="00825D8E"/>
    <w:rsid w:val="00831AB8"/>
    <w:rsid w:val="00831CA8"/>
    <w:rsid w:val="008354DA"/>
    <w:rsid w:val="00873785"/>
    <w:rsid w:val="00886BC6"/>
    <w:rsid w:val="00895C1B"/>
    <w:rsid w:val="008C29AB"/>
    <w:rsid w:val="008C2CE8"/>
    <w:rsid w:val="008C5903"/>
    <w:rsid w:val="008D3194"/>
    <w:rsid w:val="008D6438"/>
    <w:rsid w:val="008E6415"/>
    <w:rsid w:val="008F39A0"/>
    <w:rsid w:val="00932CC9"/>
    <w:rsid w:val="0093628B"/>
    <w:rsid w:val="00945935"/>
    <w:rsid w:val="009532C0"/>
    <w:rsid w:val="00954CBF"/>
    <w:rsid w:val="0096683F"/>
    <w:rsid w:val="00966A48"/>
    <w:rsid w:val="009767BB"/>
    <w:rsid w:val="00992D79"/>
    <w:rsid w:val="00996260"/>
    <w:rsid w:val="009A1D93"/>
    <w:rsid w:val="009A68DE"/>
    <w:rsid w:val="009B460D"/>
    <w:rsid w:val="009C3824"/>
    <w:rsid w:val="009C4316"/>
    <w:rsid w:val="009D26AF"/>
    <w:rsid w:val="009E7492"/>
    <w:rsid w:val="00A11272"/>
    <w:rsid w:val="00A139AA"/>
    <w:rsid w:val="00A41A15"/>
    <w:rsid w:val="00A450A3"/>
    <w:rsid w:val="00A54C11"/>
    <w:rsid w:val="00A75811"/>
    <w:rsid w:val="00A75978"/>
    <w:rsid w:val="00A775AA"/>
    <w:rsid w:val="00A8116B"/>
    <w:rsid w:val="00A84A01"/>
    <w:rsid w:val="00A9225A"/>
    <w:rsid w:val="00AA2A3D"/>
    <w:rsid w:val="00AB04EA"/>
    <w:rsid w:val="00AC0AC2"/>
    <w:rsid w:val="00AC25E2"/>
    <w:rsid w:val="00AC4898"/>
    <w:rsid w:val="00AD357A"/>
    <w:rsid w:val="00B07798"/>
    <w:rsid w:val="00B10F8E"/>
    <w:rsid w:val="00B121D7"/>
    <w:rsid w:val="00B16D40"/>
    <w:rsid w:val="00B244F2"/>
    <w:rsid w:val="00B30C88"/>
    <w:rsid w:val="00B41CEB"/>
    <w:rsid w:val="00B44657"/>
    <w:rsid w:val="00B51437"/>
    <w:rsid w:val="00B559FB"/>
    <w:rsid w:val="00B61448"/>
    <w:rsid w:val="00B666A8"/>
    <w:rsid w:val="00B70AE2"/>
    <w:rsid w:val="00B7499D"/>
    <w:rsid w:val="00BA0848"/>
    <w:rsid w:val="00BA2456"/>
    <w:rsid w:val="00BB28F0"/>
    <w:rsid w:val="00BC7F45"/>
    <w:rsid w:val="00BE1D20"/>
    <w:rsid w:val="00C1216D"/>
    <w:rsid w:val="00C129B4"/>
    <w:rsid w:val="00C13705"/>
    <w:rsid w:val="00C26F02"/>
    <w:rsid w:val="00C43D6D"/>
    <w:rsid w:val="00C52C79"/>
    <w:rsid w:val="00C66DD0"/>
    <w:rsid w:val="00C75E48"/>
    <w:rsid w:val="00C83339"/>
    <w:rsid w:val="00C86268"/>
    <w:rsid w:val="00C92319"/>
    <w:rsid w:val="00CA3C7F"/>
    <w:rsid w:val="00CF5381"/>
    <w:rsid w:val="00D022C0"/>
    <w:rsid w:val="00D512BB"/>
    <w:rsid w:val="00D64993"/>
    <w:rsid w:val="00D8666F"/>
    <w:rsid w:val="00DB24DA"/>
    <w:rsid w:val="00DD24CC"/>
    <w:rsid w:val="00E20572"/>
    <w:rsid w:val="00E41850"/>
    <w:rsid w:val="00E535C4"/>
    <w:rsid w:val="00E63FB3"/>
    <w:rsid w:val="00E76FE1"/>
    <w:rsid w:val="00E829F4"/>
    <w:rsid w:val="00E902AF"/>
    <w:rsid w:val="00EB67E8"/>
    <w:rsid w:val="00EC5A1D"/>
    <w:rsid w:val="00ED02A1"/>
    <w:rsid w:val="00ED1B91"/>
    <w:rsid w:val="00ED4B37"/>
    <w:rsid w:val="00ED4F7F"/>
    <w:rsid w:val="00F05EEF"/>
    <w:rsid w:val="00F07161"/>
    <w:rsid w:val="00F25234"/>
    <w:rsid w:val="00F253E3"/>
    <w:rsid w:val="00F26127"/>
    <w:rsid w:val="00F26F8B"/>
    <w:rsid w:val="00F3162C"/>
    <w:rsid w:val="00F42724"/>
    <w:rsid w:val="00F56CE9"/>
    <w:rsid w:val="00F82120"/>
    <w:rsid w:val="00F82B0E"/>
    <w:rsid w:val="00F8374D"/>
    <w:rsid w:val="00FA131C"/>
    <w:rsid w:val="00FA5AF5"/>
    <w:rsid w:val="00FB3C2C"/>
    <w:rsid w:val="00FB7ED0"/>
    <w:rsid w:val="00FC39D4"/>
    <w:rsid w:val="00FC6818"/>
    <w:rsid w:val="00FE2FC1"/>
    <w:rsid w:val="00FE570D"/>
    <w:rsid w:val="00FE5CD8"/>
    <w:rsid w:val="00FE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A3CE8"/>
    <w:pPr>
      <w:tabs>
        <w:tab w:val="center" w:pos="4153"/>
        <w:tab w:val="right" w:pos="8306"/>
      </w:tabs>
      <w:snapToGrid w:val="0"/>
      <w:jc w:val="left"/>
    </w:pPr>
    <w:rPr>
      <w:sz w:val="18"/>
      <w:szCs w:val="18"/>
    </w:rPr>
  </w:style>
  <w:style w:type="character" w:customStyle="1" w:styleId="Char">
    <w:name w:val="页脚 Char"/>
    <w:basedOn w:val="a0"/>
    <w:link w:val="a3"/>
    <w:rsid w:val="004A3CE8"/>
    <w:rPr>
      <w:rFonts w:ascii="Times New Roman" w:eastAsia="宋体" w:hAnsi="Times New Roman" w:cs="Times New Roman"/>
      <w:sz w:val="18"/>
      <w:szCs w:val="18"/>
    </w:rPr>
  </w:style>
  <w:style w:type="character" w:styleId="a4">
    <w:name w:val="page number"/>
    <w:basedOn w:val="a0"/>
    <w:rsid w:val="004A3CE8"/>
  </w:style>
  <w:style w:type="table" w:styleId="a5">
    <w:name w:val="Table Grid"/>
    <w:basedOn w:val="a1"/>
    <w:rsid w:val="004A3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E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A3CE8"/>
    <w:pPr>
      <w:tabs>
        <w:tab w:val="center" w:pos="4153"/>
        <w:tab w:val="right" w:pos="8306"/>
      </w:tabs>
      <w:snapToGrid w:val="0"/>
      <w:jc w:val="left"/>
    </w:pPr>
    <w:rPr>
      <w:sz w:val="18"/>
      <w:szCs w:val="18"/>
    </w:rPr>
  </w:style>
  <w:style w:type="character" w:customStyle="1" w:styleId="Char">
    <w:name w:val="页脚 Char"/>
    <w:basedOn w:val="a0"/>
    <w:link w:val="a3"/>
    <w:rsid w:val="004A3CE8"/>
    <w:rPr>
      <w:rFonts w:ascii="Times New Roman" w:eastAsia="宋体" w:hAnsi="Times New Roman" w:cs="Times New Roman"/>
      <w:sz w:val="18"/>
      <w:szCs w:val="18"/>
    </w:rPr>
  </w:style>
  <w:style w:type="character" w:styleId="a4">
    <w:name w:val="page number"/>
    <w:basedOn w:val="a0"/>
    <w:rsid w:val="004A3CE8"/>
  </w:style>
  <w:style w:type="table" w:styleId="a5">
    <w:name w:val="Table Grid"/>
    <w:basedOn w:val="a1"/>
    <w:rsid w:val="004A3CE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2014-07-01T09:39:00Z</dcterms:created>
  <dcterms:modified xsi:type="dcterms:W3CDTF">2014-07-01T09:39:00Z</dcterms:modified>
</cp:coreProperties>
</file>