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140" w:rsidRPr="00FF0B0D" w:rsidRDefault="00F65140" w:rsidP="00F65140">
      <w:pPr>
        <w:rPr>
          <w:rFonts w:hint="eastAsia"/>
        </w:rPr>
      </w:pPr>
    </w:p>
    <w:p w:rsidR="00F65140" w:rsidRPr="00FF0B0D" w:rsidRDefault="00F65140" w:rsidP="00F65140">
      <w:pPr>
        <w:adjustRightInd w:val="0"/>
        <w:snapToGrid w:val="0"/>
        <w:jc w:val="center"/>
        <w:rPr>
          <w:rFonts w:ascii="方正小标宋简体" w:eastAsia="方正小标宋简体" w:hint="eastAsia"/>
          <w:sz w:val="44"/>
          <w:szCs w:val="44"/>
        </w:rPr>
      </w:pPr>
      <w:r w:rsidRPr="00FF0B0D">
        <w:rPr>
          <w:rFonts w:ascii="方正小标宋简体" w:eastAsia="方正小标宋简体" w:hint="eastAsia"/>
          <w:sz w:val="44"/>
          <w:szCs w:val="44"/>
        </w:rPr>
        <w:t>2015年药械市场监管工作要点</w:t>
      </w:r>
    </w:p>
    <w:p w:rsidR="00F65140" w:rsidRPr="00FF0B0D" w:rsidRDefault="00F65140" w:rsidP="00F65140">
      <w:pPr>
        <w:adjustRightInd w:val="0"/>
        <w:snapToGrid w:val="0"/>
        <w:jc w:val="center"/>
        <w:rPr>
          <w:rFonts w:ascii="方正小标宋简体" w:eastAsia="方正小标宋简体" w:hint="eastAsia"/>
          <w:sz w:val="44"/>
          <w:szCs w:val="44"/>
        </w:rPr>
      </w:pPr>
      <w:r w:rsidRPr="00FF0B0D">
        <w:rPr>
          <w:rFonts w:ascii="方正小标宋简体" w:eastAsia="方正小标宋简体" w:hint="eastAsia"/>
          <w:sz w:val="44"/>
          <w:szCs w:val="44"/>
        </w:rPr>
        <w:t>及监督检查工作要求</w:t>
      </w:r>
    </w:p>
    <w:p w:rsidR="00F65140" w:rsidRPr="00FF0B0D" w:rsidRDefault="00F65140" w:rsidP="00F65140">
      <w:pPr>
        <w:rPr>
          <w:rFonts w:ascii="仿宋_GB2312" w:eastAsia="仿宋_GB2312" w:hint="eastAsia"/>
          <w:sz w:val="32"/>
          <w:szCs w:val="32"/>
        </w:rPr>
      </w:pPr>
    </w:p>
    <w:p w:rsidR="00F65140" w:rsidRPr="00FF0B0D" w:rsidRDefault="00F65140" w:rsidP="00F65140">
      <w:pPr>
        <w:ind w:firstLineChars="200" w:firstLine="640"/>
        <w:rPr>
          <w:rFonts w:ascii="黑体" w:eastAsia="黑体" w:hint="eastAsia"/>
          <w:sz w:val="32"/>
          <w:szCs w:val="32"/>
        </w:rPr>
      </w:pPr>
      <w:r w:rsidRPr="00FF0B0D">
        <w:rPr>
          <w:rFonts w:ascii="黑体" w:eastAsia="黑体" w:hint="eastAsia"/>
          <w:sz w:val="32"/>
          <w:szCs w:val="32"/>
        </w:rPr>
        <w:t>一、工作目标</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2015年药械市场监管工作总体认真贯彻落实市局2015年度全系统工作会议和国家总局相关工作部署，遵循“让首都市民享受更高水准的食品药品安全保障”的根本目标，围绕强化监管、服务发展，在药械流通监管领域强化监管力度、统一监管标准、共享监管经验，以药品、医疗器械经营许可证换证为契机，以药品、医疗器械GSP实施为手段，通过各种强有力的监管方式，积极引导产业结构调整，营造良好的药械产业发展环境和更加安全的药械消费环境。</w:t>
      </w:r>
    </w:p>
    <w:p w:rsidR="00F65140" w:rsidRPr="00FF0B0D" w:rsidRDefault="00F65140" w:rsidP="00F65140">
      <w:pPr>
        <w:ind w:firstLineChars="200" w:firstLine="640"/>
        <w:rPr>
          <w:rFonts w:ascii="黑体" w:eastAsia="黑体" w:hint="eastAsia"/>
          <w:sz w:val="32"/>
          <w:szCs w:val="32"/>
        </w:rPr>
      </w:pPr>
      <w:r w:rsidRPr="00FF0B0D">
        <w:rPr>
          <w:rFonts w:ascii="黑体" w:eastAsia="黑体" w:hint="eastAsia"/>
          <w:sz w:val="32"/>
          <w:szCs w:val="32"/>
        </w:rPr>
        <w:t>二、工作任务</w:t>
      </w:r>
    </w:p>
    <w:p w:rsidR="00F65140" w:rsidRPr="00FF0B0D" w:rsidRDefault="00F65140" w:rsidP="00F65140">
      <w:pPr>
        <w:ind w:firstLineChars="200" w:firstLine="640"/>
        <w:rPr>
          <w:rFonts w:ascii="楷体_GB2312" w:eastAsia="楷体_GB2312" w:hint="eastAsia"/>
          <w:sz w:val="32"/>
          <w:szCs w:val="32"/>
        </w:rPr>
      </w:pPr>
      <w:r w:rsidRPr="00FF0B0D">
        <w:rPr>
          <w:rFonts w:ascii="楷体_GB2312" w:eastAsia="楷体_GB2312" w:hint="eastAsia"/>
          <w:sz w:val="32"/>
          <w:szCs w:val="32"/>
        </w:rPr>
        <w:t>（一）药品经营使用环节</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1.认真完成药品经营企业新版GSP认证工作</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一是坚持标准不放松。各区县局、直属分局要严把标准关，严格认证程序及时限，坚持标准不降低，对达不到标准要求的要限期整改，整改后仍达不到要求的，一律不予换证，确保2015年前完成药品经营企业新版GSP认证工作。同时各区县局、直属分局对到期未达到新版GSP要求的企业，立即停止其药品经营活动，并做好监督检查。</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lastRenderedPageBreak/>
        <w:t>二是将GSP认证与药店规范化建设有机结合。药品零售企业GSP认证工作是今年重点任务，将有3500余家进行新版GSP认证，各区县局、直属分局要按照企业换证时间把握好认证进度，有序开展认证工作，在开展认证工作的同时，将认证与药店规范化管理的推进有机结合，提高工作效率。</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三是进一步优化行政许可事项。为方便企业简化换证手续，实现两个许可，一次现场检查，2015年将批发企业换证和新版GSP认证等行政许可放到市局统一管理，由药械市场处统一组织，各区县局、直属分局及认证中心配合进行现场检查，逐步实现现场检查“两证合一”。</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2.做好药品零售企业规范化管理和分级分类工作</w:t>
      </w:r>
      <w:r w:rsidRPr="00FF0B0D" w:rsidDel="00AF13C3">
        <w:rPr>
          <w:rFonts w:ascii="仿宋_GB2312" w:eastAsia="仿宋_GB2312" w:hint="eastAsia"/>
          <w:sz w:val="32"/>
          <w:szCs w:val="32"/>
        </w:rPr>
        <w:t xml:space="preserve"> </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一是规范服务，提升药学服务水平。继续推进药品零售企业规范化管理，新开办药店要严格按照《加强药品零售企业规范化管理的若干意见》（以下简称《意见》）的要求实行准入。各区县局、直属分局严格落实分级分类管理，将药品零售企业分级分类管理作为药店监督管理的重要方式之一，对已完成分级分类的企业要有明显标识并进行公示告知，2015年底前要完成药品零售企业的分级分类工作。</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二是切实落实《意见》中鼓励零售连锁发展的有关要求。各区县局、直属分局按照《意见》要求，在保证认证质量不下降的前提下，统一组织打包认证。按照鼓励有规模、有实力的药品零售企业通过兼并重组等方式，发展连锁经营的原</w:t>
      </w:r>
      <w:r w:rsidRPr="00FF0B0D">
        <w:rPr>
          <w:rFonts w:ascii="仿宋_GB2312" w:eastAsia="仿宋_GB2312" w:hint="eastAsia"/>
          <w:sz w:val="32"/>
          <w:szCs w:val="32"/>
        </w:rPr>
        <w:lastRenderedPageBreak/>
        <w:t>则，按照《意见》要求，在企业资本重组已经完成、质量管理体系始终有效的前提下，简化其行政许可程序。</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3.全面推进药品流通环节药品电子监管工作</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一是确保2015年底药品批发企业和零售企业全部入网。按照《国家食品药品监督管理总局关于药品生产经营企业全面实施药品电子监管有关事宜的公告》要求，</w:t>
      </w:r>
      <w:smartTag w:uri="urn:schemas-microsoft-com:office:smarttags" w:element="chsdate">
        <w:smartTagPr>
          <w:attr w:name="Year" w:val="2015"/>
          <w:attr w:name="Month" w:val="12"/>
          <w:attr w:name="Day" w:val="31"/>
          <w:attr w:name="IsLunarDate" w:val="False"/>
          <w:attr w:name="IsROCDate" w:val="False"/>
        </w:smartTagPr>
        <w:r w:rsidRPr="00FF0B0D">
          <w:rPr>
            <w:rFonts w:ascii="仿宋_GB2312" w:eastAsia="仿宋_GB2312" w:hint="eastAsia"/>
            <w:sz w:val="32"/>
            <w:szCs w:val="32"/>
          </w:rPr>
          <w:t>2015年12月31日前</w:t>
        </w:r>
      </w:smartTag>
      <w:r w:rsidRPr="00FF0B0D">
        <w:rPr>
          <w:rFonts w:ascii="仿宋_GB2312" w:eastAsia="仿宋_GB2312" w:hint="eastAsia"/>
          <w:sz w:val="32"/>
          <w:szCs w:val="32"/>
        </w:rPr>
        <w:t>,所有药品批发、零售企业须全部入网。处室将根据总局具体工作要求制定相应工作方案，各区县、直属分局对已具备加入电子监管条件的药品经营企业，及时做好入网审核。2015年进行GSP认证的药品经营企业，要严格按照新修订《药品经营质量管理规范》要求，具备电子监管能力。</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二是加强电子监管日常监督。各区县局、直属分局将电子监管纳入到日常监督检查范围内，对已入网的药品经营企业要督促其“见码必扫”，</w:t>
      </w:r>
      <w:proofErr w:type="gramStart"/>
      <w:r w:rsidRPr="00FF0B0D">
        <w:rPr>
          <w:rFonts w:ascii="仿宋_GB2312" w:eastAsia="仿宋_GB2312" w:hint="eastAsia"/>
          <w:sz w:val="32"/>
          <w:szCs w:val="32"/>
        </w:rPr>
        <w:t>及时核注核销</w:t>
      </w:r>
      <w:proofErr w:type="gramEnd"/>
      <w:r w:rsidRPr="00FF0B0D">
        <w:rPr>
          <w:rFonts w:ascii="仿宋_GB2312" w:eastAsia="仿宋_GB2312" w:hint="eastAsia"/>
          <w:sz w:val="32"/>
          <w:szCs w:val="32"/>
        </w:rPr>
        <w:t>、上传数据和预警处理，发现监管风险及时上报。</w:t>
      </w:r>
    </w:p>
    <w:p w:rsidR="00F65140" w:rsidRPr="00FF0B0D" w:rsidRDefault="00F65140" w:rsidP="00F65140">
      <w:pPr>
        <w:ind w:firstLineChars="200" w:firstLine="640"/>
        <w:rPr>
          <w:rFonts w:ascii="仿宋_GB2312" w:eastAsia="仿宋_GB2312" w:hint="eastAsia"/>
          <w:spacing w:val="-6"/>
          <w:sz w:val="32"/>
          <w:szCs w:val="32"/>
        </w:rPr>
      </w:pPr>
      <w:r w:rsidRPr="00FF0B0D">
        <w:rPr>
          <w:rFonts w:ascii="仿宋_GB2312" w:eastAsia="仿宋_GB2312" w:hint="eastAsia"/>
          <w:sz w:val="32"/>
          <w:szCs w:val="32"/>
        </w:rPr>
        <w:t>三是完成药品批发企业数据传输技术升级。处室将与电子监管技术支持公司协商，帮助部分批发企业解决电子监管数据不能传输问题，</w:t>
      </w:r>
      <w:r w:rsidRPr="00FF0B0D">
        <w:rPr>
          <w:rFonts w:ascii="仿宋_GB2312" w:eastAsia="仿宋_GB2312" w:hint="eastAsia"/>
          <w:spacing w:val="-6"/>
          <w:sz w:val="32"/>
          <w:szCs w:val="32"/>
        </w:rPr>
        <w:t>保证企业及时上传数据，确保电子监管数据完整、准确。</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4.强化高风险药品品种和网上售药的监管工作</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一是强化高风险药品经营环节监管工作。各区县局、直属分局在日常监督检查过程中，将含特殊药品复方制剂、生</w:t>
      </w:r>
      <w:r w:rsidRPr="00FF0B0D">
        <w:rPr>
          <w:rFonts w:ascii="仿宋_GB2312" w:eastAsia="仿宋_GB2312" w:hint="eastAsia"/>
          <w:sz w:val="32"/>
          <w:szCs w:val="32"/>
        </w:rPr>
        <w:lastRenderedPageBreak/>
        <w:t>物制品、疫苗</w:t>
      </w:r>
      <w:proofErr w:type="gramStart"/>
      <w:r w:rsidRPr="00FF0B0D">
        <w:rPr>
          <w:rFonts w:ascii="仿宋_GB2312" w:eastAsia="仿宋_GB2312" w:hint="eastAsia"/>
          <w:sz w:val="32"/>
          <w:szCs w:val="32"/>
        </w:rPr>
        <w:t>等冷链产品</w:t>
      </w:r>
      <w:proofErr w:type="gramEnd"/>
      <w:r w:rsidRPr="00FF0B0D">
        <w:rPr>
          <w:rFonts w:ascii="仿宋_GB2312" w:eastAsia="仿宋_GB2312" w:hint="eastAsia"/>
          <w:sz w:val="32"/>
          <w:szCs w:val="32"/>
        </w:rPr>
        <w:t>作为重点检查品种，同时以繁华商业区、大型商场超市、旅游景区、城乡结合部等人员密集地区为重点监管区域，按要求完成监管任务。</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二是加强对具有互联网销售药品资格的零售连锁企业购销渠道的管理。各区县局、直属分局要对取得网上销售资质的药品零售企业网上销售行为进行重点管理，检查其网上销售药品的购销渠道，掌握其采购、销售动向，采购、销售出现异常行为时进行重点关注，加强风险防控。</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5.健全医疗机构监管档案，严控药品采购渠道</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一是夯实监管工作基础，提升风险防控能力。在2014年建立医疗机构</w:t>
      </w:r>
      <w:proofErr w:type="gramStart"/>
      <w:r w:rsidRPr="00FF0B0D">
        <w:rPr>
          <w:rFonts w:ascii="仿宋_GB2312" w:eastAsia="仿宋_GB2312" w:hint="eastAsia"/>
          <w:sz w:val="32"/>
          <w:szCs w:val="32"/>
        </w:rPr>
        <w:t>分类台</w:t>
      </w:r>
      <w:proofErr w:type="gramEnd"/>
      <w:r w:rsidRPr="00FF0B0D">
        <w:rPr>
          <w:rFonts w:ascii="仿宋_GB2312" w:eastAsia="仿宋_GB2312" w:hint="eastAsia"/>
          <w:sz w:val="32"/>
          <w:szCs w:val="32"/>
        </w:rPr>
        <w:t>账的基础上，各区县局、直属分局继续做好医疗</w:t>
      </w:r>
      <w:proofErr w:type="gramStart"/>
      <w:r w:rsidRPr="00FF0B0D">
        <w:rPr>
          <w:rFonts w:ascii="仿宋_GB2312" w:eastAsia="仿宋_GB2312" w:hint="eastAsia"/>
          <w:sz w:val="32"/>
          <w:szCs w:val="32"/>
        </w:rPr>
        <w:t>机构台</w:t>
      </w:r>
      <w:proofErr w:type="gramEnd"/>
      <w:r w:rsidRPr="00FF0B0D">
        <w:rPr>
          <w:rFonts w:ascii="仿宋_GB2312" w:eastAsia="仿宋_GB2312" w:hint="eastAsia"/>
          <w:sz w:val="32"/>
          <w:szCs w:val="32"/>
        </w:rPr>
        <w:t>帐维护、分析工作，对于账目信息发生变化的要及时更新，</w:t>
      </w:r>
      <w:proofErr w:type="gramStart"/>
      <w:r w:rsidRPr="00FF0B0D">
        <w:rPr>
          <w:rFonts w:ascii="仿宋_GB2312" w:eastAsia="仿宋_GB2312" w:hint="eastAsia"/>
          <w:sz w:val="32"/>
          <w:szCs w:val="32"/>
        </w:rPr>
        <w:t>确保台</w:t>
      </w:r>
      <w:proofErr w:type="gramEnd"/>
      <w:r w:rsidRPr="00FF0B0D">
        <w:rPr>
          <w:rFonts w:ascii="仿宋_GB2312" w:eastAsia="仿宋_GB2312" w:hint="eastAsia"/>
          <w:sz w:val="32"/>
          <w:szCs w:val="32"/>
        </w:rPr>
        <w:t>帐的准确性。同时，根据台帐的变化情况，分析医疗机构药品管理的风险点，确定监管重点并将分析结果运用到日常监督检查计划的制定中，有计划、有重点的开展监督检查工作。</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二是强化药品采购监管，确保药品质量安全。按照2014年辖区医疗机构的摸底情况，加强对未从招标采购平台采购药品的医院类别医疗机构、疫苗接种机构以及个体诊所等营利性医疗机构药品购进渠道的日常监管，督促医疗机构严把购进关，做到采购渠道合法、药品合法、票据合法和推销员合法。</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lastRenderedPageBreak/>
        <w:t>6.强化药品抽样任务安排的科学性，加强药品质量水平监测</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坚持问题导向的抽样原则，将抽样工作与专项行动相结合，与日常监管相结合，认真做好抽样前的现场检查工作以及采购渠道、供方资质的核实工作，提升抽样靶向性，在抽验过程中对上一年度抽验不合格、进货渠道复杂、城乡结合部地区、营利性医疗机构、个人诊所进行重点抽样。</w:t>
      </w:r>
    </w:p>
    <w:p w:rsidR="00F65140" w:rsidRPr="00FF0B0D" w:rsidRDefault="00F65140" w:rsidP="00F65140">
      <w:pPr>
        <w:ind w:firstLineChars="200" w:firstLine="640"/>
        <w:rPr>
          <w:rFonts w:ascii="楷体_GB2312" w:eastAsia="楷体_GB2312" w:hint="eastAsia"/>
          <w:sz w:val="32"/>
          <w:szCs w:val="32"/>
        </w:rPr>
      </w:pPr>
      <w:r w:rsidRPr="00FF0B0D">
        <w:rPr>
          <w:rFonts w:ascii="楷体_GB2312" w:eastAsia="楷体_GB2312" w:hint="eastAsia"/>
          <w:sz w:val="32"/>
          <w:szCs w:val="32"/>
        </w:rPr>
        <w:t>（二）医疗器械流通监管部分</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1.全面推进《医疗器械经营质量管理规范》实施</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在医疗器械经营企业的准入和监管两个环节稳步推行《医疗器械经营质量管理规范》，即在从事高风险医疗器械产品经营的企业和提供医疗器械贮存、配送服务的企业中率先实施，其他企业分步推进。开展《医疗器械经营质量管理规范》示范企业创建活动，充分发挥示范企业示范带头作用，促进《规范》全面有序实施。制定《规范》实施方案和工作指南，建立完善工作机制，统一工作标准，并组织开展《规范》培训，加强医疗器械监管人员的专业培训和考核工作。</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2.规范高风险医疗器械市场秩序，</w:t>
      </w:r>
      <w:proofErr w:type="gramStart"/>
      <w:r w:rsidRPr="00FF0B0D">
        <w:rPr>
          <w:rFonts w:ascii="仿宋_GB2312" w:eastAsia="仿宋_GB2312" w:hint="eastAsia"/>
          <w:sz w:val="32"/>
          <w:szCs w:val="32"/>
        </w:rPr>
        <w:t>提升用械安全水平</w:t>
      </w:r>
      <w:proofErr w:type="gramEnd"/>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一是做好各类专项整治。按照国家食药总局工作部署，开展五整治专项行动回头看、体外诊断试剂综合治理等行动，适时组织专项监督检查。各区局、直属分局还要结合本辖区风险特点，有针对性的开展日常监管工作，对安全风险早发</w:t>
      </w:r>
      <w:r w:rsidRPr="00FF0B0D">
        <w:rPr>
          <w:rFonts w:ascii="仿宋_GB2312" w:eastAsia="仿宋_GB2312" w:hint="eastAsia"/>
          <w:sz w:val="32"/>
          <w:szCs w:val="32"/>
        </w:rPr>
        <w:lastRenderedPageBreak/>
        <w:t>现、早处置，对违法苗头要早打，打早，防止区域性和系统性风险发生。</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二是继续推进医疗器械集中三方物流经营模式，促进产业结构调整，提高储运质量保障能力。2015年我局将加快完成医疗器械第三方</w:t>
      </w:r>
      <w:proofErr w:type="gramStart"/>
      <w:r w:rsidRPr="00FF0B0D">
        <w:rPr>
          <w:rFonts w:ascii="仿宋_GB2312" w:eastAsia="仿宋_GB2312" w:hint="eastAsia"/>
          <w:sz w:val="32"/>
          <w:szCs w:val="32"/>
        </w:rPr>
        <w:t>物流试点</w:t>
      </w:r>
      <w:proofErr w:type="gramEnd"/>
      <w:r w:rsidRPr="00FF0B0D">
        <w:rPr>
          <w:rFonts w:ascii="仿宋_GB2312" w:eastAsia="仿宋_GB2312" w:hint="eastAsia"/>
          <w:sz w:val="32"/>
          <w:szCs w:val="32"/>
        </w:rPr>
        <w:t>工作的评估和完善，鼓励高风险医疗器械经营企业进一步集中仓储物流渠道，从单一范围配送到多范围配送，将医疗器械第三方物流纳入常态化管理。</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3.做好器械经营企业延续工作</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严格执行有关标准，认真开展医疗器械经营许可、备案及许可证延续等行政许可和现场核查，并做好辖区经营企业政策引导，积极化解新政策实施过程中的各种矛盾，使企业换证工作稳步有序开展，保障新规定有效、切实实施。</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4.运用信息化手段，建立重点环节监管长效机制</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我局各区县局、直属分局应在统一监管信息平台基础上，开展辖区经营企业基础数据维护工作，做好经营企业分类管理和统计、分析工作。组织辖区第三类医疗器械经营企业加入医疗器械不良事件监测体系，完成入网工作。建立辖区进口总代理产品信息管理机制，对进口总代理企业实施动态监管。</w:t>
      </w:r>
    </w:p>
    <w:p w:rsidR="00F65140" w:rsidRPr="00FF0B0D" w:rsidRDefault="00F65140" w:rsidP="00F65140">
      <w:pPr>
        <w:ind w:firstLineChars="200" w:firstLine="640"/>
        <w:rPr>
          <w:rFonts w:ascii="楷体_GB2312" w:eastAsia="楷体_GB2312" w:hint="eastAsia"/>
          <w:sz w:val="32"/>
          <w:szCs w:val="32"/>
        </w:rPr>
      </w:pPr>
      <w:r w:rsidRPr="00FF0B0D">
        <w:rPr>
          <w:rFonts w:ascii="楷体_GB2312" w:eastAsia="楷体_GB2312" w:hint="eastAsia"/>
          <w:sz w:val="32"/>
          <w:szCs w:val="32"/>
        </w:rPr>
        <w:t>（三）违法、违规广告监管部分</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在继续做好广告审查和监测工作的基础上，将违法宣传中涉及本市药品、医疗器械经营企业的信息通报至相关属地</w:t>
      </w:r>
      <w:r w:rsidRPr="00FF0B0D">
        <w:rPr>
          <w:rFonts w:ascii="仿宋_GB2312" w:eastAsia="仿宋_GB2312" w:hint="eastAsia"/>
          <w:sz w:val="32"/>
          <w:szCs w:val="32"/>
        </w:rPr>
        <w:lastRenderedPageBreak/>
        <w:t>区县局或直属分局进行处理。各区县局、直属分局应对辖区参与违法违规宣传的经营企业开展有因现场检查，对违法违规宣传的产品进行抽验，检查相关产品的购销管理，发现有违反相关法规的行为采取相应处理措施，涉嫌违法经营、产品质量不合格的移交稽查部门依法查处。对由于违法被采取暂停销售的药品、医疗器械产品，各区县局、直属分局应按照要求及时通知辖区内相关经营企业并监督实施。</w:t>
      </w:r>
    </w:p>
    <w:p w:rsidR="00F65140" w:rsidRPr="00FF0B0D" w:rsidRDefault="00F65140" w:rsidP="00F65140">
      <w:pPr>
        <w:ind w:firstLineChars="200" w:firstLine="640"/>
        <w:rPr>
          <w:rFonts w:ascii="楷体_GB2312" w:eastAsia="楷体_GB2312" w:hint="eastAsia"/>
          <w:sz w:val="32"/>
          <w:szCs w:val="32"/>
        </w:rPr>
      </w:pPr>
      <w:r w:rsidRPr="00FF0B0D">
        <w:rPr>
          <w:rFonts w:ascii="楷体_GB2312" w:eastAsia="楷体_GB2312" w:hint="eastAsia"/>
          <w:sz w:val="32"/>
          <w:szCs w:val="32"/>
        </w:rPr>
        <w:t>（四）加强基层服务</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1.加强基层服务,做好调研和业务指导工作</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一是开展业务培训。2015年处室将调研区县局和直属分局在监管中需要了解的法律法规和监管知识，完成区县局提出的业务培训需求，切实提升药械市场监管人员监管能力。同时继续组织国际交流，请外国专家讲解、介绍国外药品流通监管经验，使药监人员了解国外先进经验、技术手段。二是2015年处室将有计划地开展基层调研，在调研过程中结合辖区、企业特点，有针对性地进行业务指导。三是做好督导工作。2015年处室将结合案卷评查工作开展药械经营环节许可备案的检查工作，重点对药品零售企业GSP认证和高风险医疗器械经营企业许可工作进行检查，进一步提高全市各区县局和直属分局许可监管的一致性。</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2.开展飞行检查，进一步强化监管力度</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2015年进一步加大检查的力度，组织并参与全市药械经</w:t>
      </w:r>
      <w:r w:rsidRPr="00FF0B0D">
        <w:rPr>
          <w:rFonts w:ascii="仿宋_GB2312" w:eastAsia="仿宋_GB2312" w:hint="eastAsia"/>
          <w:sz w:val="32"/>
          <w:szCs w:val="32"/>
        </w:rPr>
        <w:lastRenderedPageBreak/>
        <w:t>营企业飞行检查和有因检查，以及时了解企业实际经营状态，对监管中的问题做到心中有数，解决区县监管难题，对反应比较集中的问题统一进行反馈，保证全市监管标准的统一性，达成监管共识。</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3.注重数据统计分析，提升决策科学性和监管针对性</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2015年处室将根据职责内容对各辖区企业许可、日常监督、抽验、投诉举报处理等情况设计统一的数据报送表格。建立工作机制，对业务数据和工作数据进行汇总、分析，通过许可、监督检查、投诉举报、案件查办和抽样结果等数据分析，及时调整政策决策和工作安排，保证工作进度，提高监管质量，形成良好的沟通机制和有序、高效的工作模式。</w:t>
      </w:r>
    </w:p>
    <w:p w:rsidR="00F65140" w:rsidRPr="00FF0B0D" w:rsidRDefault="00F65140" w:rsidP="00F65140">
      <w:pPr>
        <w:ind w:firstLineChars="200" w:firstLine="640"/>
        <w:rPr>
          <w:rFonts w:ascii="黑体" w:eastAsia="黑体" w:hint="eastAsia"/>
          <w:sz w:val="32"/>
          <w:szCs w:val="32"/>
        </w:rPr>
      </w:pPr>
      <w:r w:rsidRPr="00FF0B0D">
        <w:rPr>
          <w:rFonts w:ascii="黑体" w:eastAsia="黑体" w:hint="eastAsia"/>
          <w:sz w:val="32"/>
          <w:szCs w:val="32"/>
        </w:rPr>
        <w:t>三、药械市场日常监督检查要求</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各区县局、直属分局结合辖区实际监管情况，制</w:t>
      </w:r>
      <w:proofErr w:type="gramStart"/>
      <w:r w:rsidRPr="00FF0B0D">
        <w:rPr>
          <w:rFonts w:ascii="仿宋_GB2312" w:eastAsia="仿宋_GB2312" w:hint="eastAsia"/>
          <w:sz w:val="32"/>
          <w:szCs w:val="32"/>
        </w:rPr>
        <w:t>定本局</w:t>
      </w:r>
      <w:proofErr w:type="gramEnd"/>
      <w:r w:rsidRPr="00FF0B0D">
        <w:rPr>
          <w:rFonts w:ascii="仿宋_GB2312" w:eastAsia="仿宋_GB2312" w:hint="eastAsia"/>
          <w:sz w:val="32"/>
          <w:szCs w:val="32"/>
        </w:rPr>
        <w:t>日常监督检查计划，按照监管任务通过多种手段完成对辖区药械经营企业，药品使用单位的监督检查。</w:t>
      </w:r>
    </w:p>
    <w:p w:rsidR="00F65140" w:rsidRPr="00FF0B0D" w:rsidRDefault="00F65140" w:rsidP="00F65140">
      <w:pPr>
        <w:ind w:firstLineChars="200" w:firstLine="640"/>
        <w:rPr>
          <w:rFonts w:ascii="楷体_GB2312" w:eastAsia="楷体_GB2312" w:hint="eastAsia"/>
          <w:sz w:val="32"/>
          <w:szCs w:val="32"/>
        </w:rPr>
      </w:pPr>
      <w:r w:rsidRPr="00FF0B0D">
        <w:rPr>
          <w:rFonts w:ascii="楷体_GB2312" w:eastAsia="楷体_GB2312" w:hint="eastAsia"/>
          <w:sz w:val="32"/>
          <w:szCs w:val="32"/>
        </w:rPr>
        <w:t>（一）药品市场监管要求</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2015年各区县局、直属分局结合辖区实际情况，利用三级监管体系的优势，充分发挥街道所的一线监管作用，采取多种手段对辖区药品经营企业进行监督检查，保证对辖区药品零售企业现场监督检查覆盖率达到100%。</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对基本药物配送企业及经营含特殊药品复方制剂的药品批发企业，每季度至少现场监督检查一次；对药品批发企</w:t>
      </w:r>
      <w:r w:rsidRPr="00FF0B0D">
        <w:rPr>
          <w:rFonts w:ascii="仿宋_GB2312" w:eastAsia="仿宋_GB2312" w:hint="eastAsia"/>
          <w:sz w:val="32"/>
          <w:szCs w:val="32"/>
        </w:rPr>
        <w:lastRenderedPageBreak/>
        <w:t>业库房设立在外埠的，每年至少现场监督检查一次；对辖区药品零售连锁药店总部，每半年至少现场监督检查一次，对具有互联网药品交易资格证书的药品零售连锁药店总部，每季度至少现场监督检查一次。</w:t>
      </w:r>
    </w:p>
    <w:p w:rsidR="00F65140" w:rsidRPr="00FF0B0D" w:rsidRDefault="00F65140" w:rsidP="00F65140">
      <w:pPr>
        <w:ind w:firstLineChars="200" w:firstLine="640"/>
        <w:rPr>
          <w:rFonts w:ascii="楷体_GB2312" w:eastAsia="楷体_GB2312" w:hint="eastAsia"/>
          <w:sz w:val="32"/>
          <w:szCs w:val="32"/>
        </w:rPr>
      </w:pPr>
      <w:r w:rsidRPr="00FF0B0D">
        <w:rPr>
          <w:rFonts w:ascii="楷体_GB2312" w:eastAsia="楷体_GB2312" w:hint="eastAsia"/>
          <w:sz w:val="32"/>
          <w:szCs w:val="32"/>
        </w:rPr>
        <w:t>（二）医疗器械市场监管要求</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各区县局、直属分局应结合《北京市医疗器械经营监督管理办法实施细则》及辖区医疗器械经营企业实际，突出监管重点，在开展专项检查的同时，有针对性的开展日常监督检查工作。对2015年医疗器械许可证延续经营企业及未及时上报基础数据的经营企业现场监督检查覆盖率100%；对2015年市局布置各类专项检查，确保检查任务100%完成。</w:t>
      </w:r>
    </w:p>
    <w:p w:rsidR="00F65140" w:rsidRPr="00FF0B0D" w:rsidRDefault="00F65140" w:rsidP="00F65140">
      <w:pPr>
        <w:ind w:firstLineChars="200" w:firstLine="640"/>
        <w:rPr>
          <w:rFonts w:ascii="楷体_GB2312" w:eastAsia="楷体_GB2312" w:hint="eastAsia"/>
          <w:sz w:val="32"/>
          <w:szCs w:val="32"/>
        </w:rPr>
      </w:pPr>
      <w:r w:rsidRPr="00FF0B0D">
        <w:rPr>
          <w:rFonts w:ascii="楷体_GB2312" w:eastAsia="楷体_GB2312" w:hint="eastAsia"/>
          <w:sz w:val="32"/>
          <w:szCs w:val="32"/>
        </w:rPr>
        <w:t>（三）医疗机构监管要求</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各区县局、直属分局在2014年对辖区医疗机构摸底检查的基础上，对辖区未从招标采购平台采购药品的医院类别医疗机构，每年至少现场监督检查一次，对辖区疫苗接种机构现场监督检查覆盖率100%，对个体诊所、营利性医疗机构，每年至少现场监督检查一次。</w:t>
      </w:r>
    </w:p>
    <w:p w:rsidR="00F65140" w:rsidRPr="00FF0B0D" w:rsidRDefault="00F65140" w:rsidP="00F65140">
      <w:pPr>
        <w:ind w:firstLineChars="200" w:firstLine="640"/>
        <w:rPr>
          <w:rFonts w:ascii="仿宋_GB2312" w:eastAsia="仿宋_GB2312" w:hint="eastAsia"/>
          <w:sz w:val="32"/>
          <w:szCs w:val="32"/>
        </w:rPr>
      </w:pPr>
      <w:r w:rsidRPr="00FF0B0D">
        <w:rPr>
          <w:rFonts w:ascii="仿宋_GB2312" w:eastAsia="仿宋_GB2312" w:hint="eastAsia"/>
          <w:sz w:val="32"/>
          <w:szCs w:val="32"/>
        </w:rPr>
        <w:t>各区县局、直属分局应结合辖区实际做好药械经营企业的许可工作，监督检查计划报市局药械市场处备案，应按计划要求进行监督检查并记录检查情况，监督检查记录要真实全面的反映现场检查的全部内容。要发挥街道、乡镇在风险隐患防范、信息报告等方面的作用，主动发现问题，提升市</w:t>
      </w:r>
      <w:r w:rsidRPr="00FF0B0D">
        <w:rPr>
          <w:rFonts w:ascii="仿宋_GB2312" w:eastAsia="仿宋_GB2312" w:hint="eastAsia"/>
          <w:sz w:val="32"/>
          <w:szCs w:val="32"/>
        </w:rPr>
        <w:lastRenderedPageBreak/>
        <w:t>场安全风险防控能力，有效解决药械流通环节存在的突出问题。</w:t>
      </w:r>
    </w:p>
    <w:p w:rsidR="00F65140" w:rsidRPr="00FF0B0D" w:rsidRDefault="00F65140" w:rsidP="00F65140">
      <w:pPr>
        <w:rPr>
          <w:rFonts w:hint="eastAsia"/>
        </w:rPr>
      </w:pPr>
    </w:p>
    <w:p w:rsidR="00F65140" w:rsidRPr="00FF0B0D" w:rsidRDefault="00F65140" w:rsidP="00F65140">
      <w:pPr>
        <w:rPr>
          <w:rFonts w:hint="eastAsia"/>
        </w:rPr>
      </w:pPr>
    </w:p>
    <w:p w:rsidR="004B0DD2" w:rsidRPr="00F65140" w:rsidRDefault="004B0DD2">
      <w:bookmarkStart w:id="0" w:name="_GoBack"/>
      <w:bookmarkEnd w:id="0"/>
    </w:p>
    <w:sectPr w:rsidR="004B0DD2" w:rsidRPr="00F651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F74" w:rsidRDefault="00BB6F74" w:rsidP="00F65140">
      <w:r>
        <w:separator/>
      </w:r>
    </w:p>
  </w:endnote>
  <w:endnote w:type="continuationSeparator" w:id="0">
    <w:p w:rsidR="00BB6F74" w:rsidRDefault="00BB6F74" w:rsidP="00F6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F74" w:rsidRDefault="00BB6F74" w:rsidP="00F65140">
      <w:r>
        <w:separator/>
      </w:r>
    </w:p>
  </w:footnote>
  <w:footnote w:type="continuationSeparator" w:id="0">
    <w:p w:rsidR="00BB6F74" w:rsidRDefault="00BB6F74" w:rsidP="00F65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A0"/>
    <w:rsid w:val="000011C3"/>
    <w:rsid w:val="0000188B"/>
    <w:rsid w:val="00006EB8"/>
    <w:rsid w:val="00007D7F"/>
    <w:rsid w:val="00014F96"/>
    <w:rsid w:val="000152EC"/>
    <w:rsid w:val="00015A05"/>
    <w:rsid w:val="00016AB9"/>
    <w:rsid w:val="00021A46"/>
    <w:rsid w:val="0002658C"/>
    <w:rsid w:val="00026DF5"/>
    <w:rsid w:val="00036E34"/>
    <w:rsid w:val="000405C5"/>
    <w:rsid w:val="00047500"/>
    <w:rsid w:val="00053406"/>
    <w:rsid w:val="000561F8"/>
    <w:rsid w:val="00057E8E"/>
    <w:rsid w:val="00062E60"/>
    <w:rsid w:val="00065333"/>
    <w:rsid w:val="0007078D"/>
    <w:rsid w:val="00082BE3"/>
    <w:rsid w:val="000A481D"/>
    <w:rsid w:val="000A4A86"/>
    <w:rsid w:val="000C0329"/>
    <w:rsid w:val="000C5F95"/>
    <w:rsid w:val="000C6537"/>
    <w:rsid w:val="000D35D3"/>
    <w:rsid w:val="000D45B3"/>
    <w:rsid w:val="000D60EA"/>
    <w:rsid w:val="000F0356"/>
    <w:rsid w:val="000F2F71"/>
    <w:rsid w:val="000F57BD"/>
    <w:rsid w:val="000F66DE"/>
    <w:rsid w:val="00105C17"/>
    <w:rsid w:val="00114AA1"/>
    <w:rsid w:val="0012638B"/>
    <w:rsid w:val="00127EEE"/>
    <w:rsid w:val="00133CE3"/>
    <w:rsid w:val="00136B0C"/>
    <w:rsid w:val="00143919"/>
    <w:rsid w:val="00147E4B"/>
    <w:rsid w:val="00153D67"/>
    <w:rsid w:val="00157F9A"/>
    <w:rsid w:val="0016088B"/>
    <w:rsid w:val="00166A65"/>
    <w:rsid w:val="00170A01"/>
    <w:rsid w:val="00172B2C"/>
    <w:rsid w:val="00195EA4"/>
    <w:rsid w:val="001A2C55"/>
    <w:rsid w:val="001B048B"/>
    <w:rsid w:val="001C4AE3"/>
    <w:rsid w:val="001C6C33"/>
    <w:rsid w:val="001D6044"/>
    <w:rsid w:val="001E37B2"/>
    <w:rsid w:val="001E797B"/>
    <w:rsid w:val="00204064"/>
    <w:rsid w:val="00206B34"/>
    <w:rsid w:val="0022007F"/>
    <w:rsid w:val="002240D1"/>
    <w:rsid w:val="00233FC7"/>
    <w:rsid w:val="00242829"/>
    <w:rsid w:val="00244B87"/>
    <w:rsid w:val="00247436"/>
    <w:rsid w:val="00250BF7"/>
    <w:rsid w:val="00252CB4"/>
    <w:rsid w:val="002729EA"/>
    <w:rsid w:val="00272E4A"/>
    <w:rsid w:val="0027375F"/>
    <w:rsid w:val="002944CE"/>
    <w:rsid w:val="00297B15"/>
    <w:rsid w:val="002A7CA8"/>
    <w:rsid w:val="002B4F8F"/>
    <w:rsid w:val="002C15D0"/>
    <w:rsid w:val="002D0900"/>
    <w:rsid w:val="002D6901"/>
    <w:rsid w:val="002E5555"/>
    <w:rsid w:val="002F4F74"/>
    <w:rsid w:val="00302A97"/>
    <w:rsid w:val="00310911"/>
    <w:rsid w:val="00314216"/>
    <w:rsid w:val="00321C21"/>
    <w:rsid w:val="0034171D"/>
    <w:rsid w:val="003447D9"/>
    <w:rsid w:val="00353FB2"/>
    <w:rsid w:val="0035549C"/>
    <w:rsid w:val="00360A38"/>
    <w:rsid w:val="00360B33"/>
    <w:rsid w:val="00361325"/>
    <w:rsid w:val="00362CA5"/>
    <w:rsid w:val="003662BC"/>
    <w:rsid w:val="0037040B"/>
    <w:rsid w:val="0037723B"/>
    <w:rsid w:val="003773CD"/>
    <w:rsid w:val="00385026"/>
    <w:rsid w:val="00390C2F"/>
    <w:rsid w:val="00393306"/>
    <w:rsid w:val="0039409A"/>
    <w:rsid w:val="00397C5A"/>
    <w:rsid w:val="003A340D"/>
    <w:rsid w:val="003A5831"/>
    <w:rsid w:val="003A6B33"/>
    <w:rsid w:val="003B086B"/>
    <w:rsid w:val="003B7AF5"/>
    <w:rsid w:val="003C1205"/>
    <w:rsid w:val="003C2718"/>
    <w:rsid w:val="003D09F9"/>
    <w:rsid w:val="003D4903"/>
    <w:rsid w:val="003F5E0C"/>
    <w:rsid w:val="00403784"/>
    <w:rsid w:val="0040497E"/>
    <w:rsid w:val="00417943"/>
    <w:rsid w:val="00420528"/>
    <w:rsid w:val="00422893"/>
    <w:rsid w:val="00432631"/>
    <w:rsid w:val="00440396"/>
    <w:rsid w:val="004409E2"/>
    <w:rsid w:val="00440F62"/>
    <w:rsid w:val="00444F96"/>
    <w:rsid w:val="00445441"/>
    <w:rsid w:val="00447AC8"/>
    <w:rsid w:val="0045776D"/>
    <w:rsid w:val="00465B4C"/>
    <w:rsid w:val="00470F46"/>
    <w:rsid w:val="004712D4"/>
    <w:rsid w:val="00474512"/>
    <w:rsid w:val="00480FDC"/>
    <w:rsid w:val="004820E2"/>
    <w:rsid w:val="004846CA"/>
    <w:rsid w:val="0049731B"/>
    <w:rsid w:val="004B0DD2"/>
    <w:rsid w:val="004B4E80"/>
    <w:rsid w:val="004C02BF"/>
    <w:rsid w:val="004D0A2C"/>
    <w:rsid w:val="004D1C41"/>
    <w:rsid w:val="004E1C01"/>
    <w:rsid w:val="004F2DDD"/>
    <w:rsid w:val="00504277"/>
    <w:rsid w:val="005052BC"/>
    <w:rsid w:val="0050790C"/>
    <w:rsid w:val="0051095A"/>
    <w:rsid w:val="00515B24"/>
    <w:rsid w:val="00524C15"/>
    <w:rsid w:val="00531BCD"/>
    <w:rsid w:val="005368F3"/>
    <w:rsid w:val="00543107"/>
    <w:rsid w:val="0056098B"/>
    <w:rsid w:val="00566A68"/>
    <w:rsid w:val="00571755"/>
    <w:rsid w:val="00577B3E"/>
    <w:rsid w:val="00583670"/>
    <w:rsid w:val="00587691"/>
    <w:rsid w:val="005927F0"/>
    <w:rsid w:val="00592BDE"/>
    <w:rsid w:val="005A1915"/>
    <w:rsid w:val="005A7106"/>
    <w:rsid w:val="005C023F"/>
    <w:rsid w:val="005D6B4F"/>
    <w:rsid w:val="005E3E2B"/>
    <w:rsid w:val="005E4C6D"/>
    <w:rsid w:val="006127A6"/>
    <w:rsid w:val="006246D2"/>
    <w:rsid w:val="00626F07"/>
    <w:rsid w:val="006277B5"/>
    <w:rsid w:val="0063389E"/>
    <w:rsid w:val="00640A7A"/>
    <w:rsid w:val="00641F5D"/>
    <w:rsid w:val="00643A15"/>
    <w:rsid w:val="00646D43"/>
    <w:rsid w:val="00651641"/>
    <w:rsid w:val="00651FD9"/>
    <w:rsid w:val="00660705"/>
    <w:rsid w:val="00670DD2"/>
    <w:rsid w:val="00673217"/>
    <w:rsid w:val="0068021A"/>
    <w:rsid w:val="00681375"/>
    <w:rsid w:val="0069198A"/>
    <w:rsid w:val="00691ADA"/>
    <w:rsid w:val="006B00A1"/>
    <w:rsid w:val="006B49AA"/>
    <w:rsid w:val="006B6603"/>
    <w:rsid w:val="006D1B5B"/>
    <w:rsid w:val="006E4BFD"/>
    <w:rsid w:val="006F343E"/>
    <w:rsid w:val="006F5072"/>
    <w:rsid w:val="006F6F71"/>
    <w:rsid w:val="00703DF8"/>
    <w:rsid w:val="0071585A"/>
    <w:rsid w:val="0071655B"/>
    <w:rsid w:val="00720C2C"/>
    <w:rsid w:val="0073557F"/>
    <w:rsid w:val="00743D1C"/>
    <w:rsid w:val="00744896"/>
    <w:rsid w:val="007601B8"/>
    <w:rsid w:val="00764F3D"/>
    <w:rsid w:val="00771DAF"/>
    <w:rsid w:val="0077475B"/>
    <w:rsid w:val="00780CDF"/>
    <w:rsid w:val="00785B7B"/>
    <w:rsid w:val="00786B2E"/>
    <w:rsid w:val="007872A3"/>
    <w:rsid w:val="00790BF8"/>
    <w:rsid w:val="007A1B47"/>
    <w:rsid w:val="007A5689"/>
    <w:rsid w:val="007A76F1"/>
    <w:rsid w:val="007B26FB"/>
    <w:rsid w:val="007B5030"/>
    <w:rsid w:val="007B651F"/>
    <w:rsid w:val="007B65CB"/>
    <w:rsid w:val="007C1CEA"/>
    <w:rsid w:val="007C212A"/>
    <w:rsid w:val="007D1828"/>
    <w:rsid w:val="007D205F"/>
    <w:rsid w:val="007E27DD"/>
    <w:rsid w:val="007E75C4"/>
    <w:rsid w:val="007F3063"/>
    <w:rsid w:val="008044A0"/>
    <w:rsid w:val="008062CD"/>
    <w:rsid w:val="00811DB6"/>
    <w:rsid w:val="00813963"/>
    <w:rsid w:val="00814454"/>
    <w:rsid w:val="00815149"/>
    <w:rsid w:val="0081608F"/>
    <w:rsid w:val="00816FC4"/>
    <w:rsid w:val="00824A66"/>
    <w:rsid w:val="00824F25"/>
    <w:rsid w:val="00825D8E"/>
    <w:rsid w:val="008308C8"/>
    <w:rsid w:val="00831AB8"/>
    <w:rsid w:val="00831CA8"/>
    <w:rsid w:val="00832E21"/>
    <w:rsid w:val="0083452F"/>
    <w:rsid w:val="008354DA"/>
    <w:rsid w:val="00837E91"/>
    <w:rsid w:val="00843667"/>
    <w:rsid w:val="00843A4D"/>
    <w:rsid w:val="00861C87"/>
    <w:rsid w:val="00871FF8"/>
    <w:rsid w:val="00873785"/>
    <w:rsid w:val="00886BC6"/>
    <w:rsid w:val="00895C1B"/>
    <w:rsid w:val="00895DE6"/>
    <w:rsid w:val="008C29AB"/>
    <w:rsid w:val="008C2CE8"/>
    <w:rsid w:val="008C5903"/>
    <w:rsid w:val="008D18D8"/>
    <w:rsid w:val="008D3194"/>
    <w:rsid w:val="008D4468"/>
    <w:rsid w:val="008D6438"/>
    <w:rsid w:val="008E6415"/>
    <w:rsid w:val="008F0B46"/>
    <w:rsid w:val="008F39A0"/>
    <w:rsid w:val="00901F50"/>
    <w:rsid w:val="00915066"/>
    <w:rsid w:val="0092143B"/>
    <w:rsid w:val="00922C6C"/>
    <w:rsid w:val="00922CB1"/>
    <w:rsid w:val="00932CC9"/>
    <w:rsid w:val="00933921"/>
    <w:rsid w:val="0093628B"/>
    <w:rsid w:val="00945935"/>
    <w:rsid w:val="00953119"/>
    <w:rsid w:val="009532C0"/>
    <w:rsid w:val="00954CBF"/>
    <w:rsid w:val="00955A98"/>
    <w:rsid w:val="0096683F"/>
    <w:rsid w:val="00966A48"/>
    <w:rsid w:val="009767BB"/>
    <w:rsid w:val="00981DAC"/>
    <w:rsid w:val="00982977"/>
    <w:rsid w:val="00983FBE"/>
    <w:rsid w:val="00984FA0"/>
    <w:rsid w:val="00992D79"/>
    <w:rsid w:val="00994138"/>
    <w:rsid w:val="00996260"/>
    <w:rsid w:val="009A1D93"/>
    <w:rsid w:val="009A3E35"/>
    <w:rsid w:val="009A68DE"/>
    <w:rsid w:val="009B460D"/>
    <w:rsid w:val="009C0A4B"/>
    <w:rsid w:val="009C3824"/>
    <w:rsid w:val="009C4316"/>
    <w:rsid w:val="009D0AC0"/>
    <w:rsid w:val="009D26AF"/>
    <w:rsid w:val="009E2052"/>
    <w:rsid w:val="009E7492"/>
    <w:rsid w:val="00A11272"/>
    <w:rsid w:val="00A139AA"/>
    <w:rsid w:val="00A14A93"/>
    <w:rsid w:val="00A20F0B"/>
    <w:rsid w:val="00A23ACC"/>
    <w:rsid w:val="00A26816"/>
    <w:rsid w:val="00A37D97"/>
    <w:rsid w:val="00A41A15"/>
    <w:rsid w:val="00A4297B"/>
    <w:rsid w:val="00A450A3"/>
    <w:rsid w:val="00A54507"/>
    <w:rsid w:val="00A54C11"/>
    <w:rsid w:val="00A71CB2"/>
    <w:rsid w:val="00A75811"/>
    <w:rsid w:val="00A75978"/>
    <w:rsid w:val="00A775AA"/>
    <w:rsid w:val="00A8116B"/>
    <w:rsid w:val="00A84A01"/>
    <w:rsid w:val="00A9225A"/>
    <w:rsid w:val="00AA2A3D"/>
    <w:rsid w:val="00AA6606"/>
    <w:rsid w:val="00AB04EA"/>
    <w:rsid w:val="00AB0FBC"/>
    <w:rsid w:val="00AB4F08"/>
    <w:rsid w:val="00AB7C61"/>
    <w:rsid w:val="00AC0AC2"/>
    <w:rsid w:val="00AC18BA"/>
    <w:rsid w:val="00AC25E2"/>
    <w:rsid w:val="00AC4898"/>
    <w:rsid w:val="00AC7DD1"/>
    <w:rsid w:val="00AD357A"/>
    <w:rsid w:val="00AD59D1"/>
    <w:rsid w:val="00AF0764"/>
    <w:rsid w:val="00AF1D08"/>
    <w:rsid w:val="00B07798"/>
    <w:rsid w:val="00B10F8E"/>
    <w:rsid w:val="00B121D7"/>
    <w:rsid w:val="00B16D40"/>
    <w:rsid w:val="00B2118A"/>
    <w:rsid w:val="00B244F2"/>
    <w:rsid w:val="00B25585"/>
    <w:rsid w:val="00B2792D"/>
    <w:rsid w:val="00B30C88"/>
    <w:rsid w:val="00B41CEB"/>
    <w:rsid w:val="00B44657"/>
    <w:rsid w:val="00B51437"/>
    <w:rsid w:val="00B559FB"/>
    <w:rsid w:val="00B61448"/>
    <w:rsid w:val="00B666A8"/>
    <w:rsid w:val="00B70AE2"/>
    <w:rsid w:val="00B71A79"/>
    <w:rsid w:val="00B7499D"/>
    <w:rsid w:val="00B76FEA"/>
    <w:rsid w:val="00B9775C"/>
    <w:rsid w:val="00BA0848"/>
    <w:rsid w:val="00BA2456"/>
    <w:rsid w:val="00BA27FB"/>
    <w:rsid w:val="00BB28F0"/>
    <w:rsid w:val="00BB6F74"/>
    <w:rsid w:val="00BC7F45"/>
    <w:rsid w:val="00BD55BD"/>
    <w:rsid w:val="00BE1D20"/>
    <w:rsid w:val="00C1216D"/>
    <w:rsid w:val="00C129B4"/>
    <w:rsid w:val="00C13705"/>
    <w:rsid w:val="00C26F02"/>
    <w:rsid w:val="00C43D6D"/>
    <w:rsid w:val="00C52C79"/>
    <w:rsid w:val="00C5778C"/>
    <w:rsid w:val="00C61DC2"/>
    <w:rsid w:val="00C66DD0"/>
    <w:rsid w:val="00C73FF9"/>
    <w:rsid w:val="00C75E48"/>
    <w:rsid w:val="00C83339"/>
    <w:rsid w:val="00C85EFA"/>
    <w:rsid w:val="00C86268"/>
    <w:rsid w:val="00C862ED"/>
    <w:rsid w:val="00C92319"/>
    <w:rsid w:val="00C95C09"/>
    <w:rsid w:val="00CA37D2"/>
    <w:rsid w:val="00CA3C7F"/>
    <w:rsid w:val="00CC5E13"/>
    <w:rsid w:val="00CE0802"/>
    <w:rsid w:val="00CF2E7C"/>
    <w:rsid w:val="00CF5381"/>
    <w:rsid w:val="00D022C0"/>
    <w:rsid w:val="00D14415"/>
    <w:rsid w:val="00D16E0C"/>
    <w:rsid w:val="00D22331"/>
    <w:rsid w:val="00D45CC3"/>
    <w:rsid w:val="00D512BB"/>
    <w:rsid w:val="00D64993"/>
    <w:rsid w:val="00D8666F"/>
    <w:rsid w:val="00DB24DA"/>
    <w:rsid w:val="00DB30AF"/>
    <w:rsid w:val="00DB4458"/>
    <w:rsid w:val="00DC5D22"/>
    <w:rsid w:val="00DD24CC"/>
    <w:rsid w:val="00DE27E8"/>
    <w:rsid w:val="00DE4599"/>
    <w:rsid w:val="00DF7D90"/>
    <w:rsid w:val="00E00E7D"/>
    <w:rsid w:val="00E05C4B"/>
    <w:rsid w:val="00E05DDB"/>
    <w:rsid w:val="00E06AA9"/>
    <w:rsid w:val="00E20572"/>
    <w:rsid w:val="00E27EDA"/>
    <w:rsid w:val="00E402B0"/>
    <w:rsid w:val="00E41850"/>
    <w:rsid w:val="00E535C4"/>
    <w:rsid w:val="00E63FB3"/>
    <w:rsid w:val="00E76FE1"/>
    <w:rsid w:val="00E77360"/>
    <w:rsid w:val="00E829F4"/>
    <w:rsid w:val="00E902AF"/>
    <w:rsid w:val="00EB4552"/>
    <w:rsid w:val="00EB67E8"/>
    <w:rsid w:val="00EC5A1D"/>
    <w:rsid w:val="00ED02A1"/>
    <w:rsid w:val="00ED1B91"/>
    <w:rsid w:val="00ED4B37"/>
    <w:rsid w:val="00ED4F7F"/>
    <w:rsid w:val="00EE4006"/>
    <w:rsid w:val="00EE7D04"/>
    <w:rsid w:val="00F00DE8"/>
    <w:rsid w:val="00F05EEF"/>
    <w:rsid w:val="00F07161"/>
    <w:rsid w:val="00F25234"/>
    <w:rsid w:val="00F253E3"/>
    <w:rsid w:val="00F26127"/>
    <w:rsid w:val="00F26F8B"/>
    <w:rsid w:val="00F310EA"/>
    <w:rsid w:val="00F3162C"/>
    <w:rsid w:val="00F42724"/>
    <w:rsid w:val="00F56CE9"/>
    <w:rsid w:val="00F65140"/>
    <w:rsid w:val="00F66C94"/>
    <w:rsid w:val="00F72232"/>
    <w:rsid w:val="00F73F2A"/>
    <w:rsid w:val="00F756A1"/>
    <w:rsid w:val="00F82120"/>
    <w:rsid w:val="00F82B0E"/>
    <w:rsid w:val="00F8374D"/>
    <w:rsid w:val="00FA131C"/>
    <w:rsid w:val="00FA283B"/>
    <w:rsid w:val="00FA5AF5"/>
    <w:rsid w:val="00FA7D45"/>
    <w:rsid w:val="00FB3C2C"/>
    <w:rsid w:val="00FB7ED0"/>
    <w:rsid w:val="00FC118D"/>
    <w:rsid w:val="00FC2F54"/>
    <w:rsid w:val="00FC39D4"/>
    <w:rsid w:val="00FC6818"/>
    <w:rsid w:val="00FD5D05"/>
    <w:rsid w:val="00FE2FC1"/>
    <w:rsid w:val="00FE3884"/>
    <w:rsid w:val="00FE570D"/>
    <w:rsid w:val="00FE5CD8"/>
    <w:rsid w:val="00FE74FC"/>
    <w:rsid w:val="00FF0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14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1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65140"/>
    <w:rPr>
      <w:sz w:val="18"/>
      <w:szCs w:val="18"/>
    </w:rPr>
  </w:style>
  <w:style w:type="paragraph" w:styleId="a4">
    <w:name w:val="footer"/>
    <w:basedOn w:val="a"/>
    <w:link w:val="Char0"/>
    <w:uiPriority w:val="99"/>
    <w:unhideWhenUsed/>
    <w:rsid w:val="00F651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6514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14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1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65140"/>
    <w:rPr>
      <w:sz w:val="18"/>
      <w:szCs w:val="18"/>
    </w:rPr>
  </w:style>
  <w:style w:type="paragraph" w:styleId="a4">
    <w:name w:val="footer"/>
    <w:basedOn w:val="a"/>
    <w:link w:val="Char0"/>
    <w:uiPriority w:val="99"/>
    <w:unhideWhenUsed/>
    <w:rsid w:val="00F651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651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2015-02-13T06:35:00Z</dcterms:created>
  <dcterms:modified xsi:type="dcterms:W3CDTF">2015-02-13T06:35:00Z</dcterms:modified>
</cp:coreProperties>
</file>