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14" w:rsidRPr="0042158E" w:rsidRDefault="00F86F14" w:rsidP="00F86F14">
      <w:pPr>
        <w:rPr>
          <w:rFonts w:ascii="黑体" w:eastAsia="黑体" w:hint="eastAsia"/>
          <w:sz w:val="32"/>
          <w:szCs w:val="32"/>
        </w:rPr>
      </w:pPr>
      <w:r w:rsidRPr="0042158E">
        <w:rPr>
          <w:rFonts w:ascii="黑体" w:eastAsia="黑体" w:hint="eastAsia"/>
          <w:sz w:val="32"/>
          <w:szCs w:val="32"/>
        </w:rPr>
        <w:t>附件</w:t>
      </w:r>
    </w:p>
    <w:p w:rsidR="00F86F14" w:rsidRDefault="00F86F14" w:rsidP="00F86F14">
      <w:pPr>
        <w:rPr>
          <w:rFonts w:ascii="仿宋_GB2312" w:eastAsia="仿宋_GB2312" w:hint="eastAsia"/>
          <w:sz w:val="32"/>
          <w:szCs w:val="32"/>
        </w:rPr>
      </w:pPr>
    </w:p>
    <w:p w:rsidR="00F86F14" w:rsidRDefault="00F86F14" w:rsidP="00F86F14">
      <w:pPr>
        <w:adjustRightInd w:val="0"/>
        <w:snapToGrid w:val="0"/>
        <w:jc w:val="center"/>
        <w:rPr>
          <w:rFonts w:ascii="方正小标宋简体" w:eastAsia="方正小标宋简体" w:hint="eastAsia"/>
          <w:sz w:val="44"/>
          <w:szCs w:val="44"/>
        </w:rPr>
      </w:pPr>
      <w:r w:rsidRPr="006D18D4">
        <w:rPr>
          <w:rFonts w:ascii="方正小标宋简体" w:eastAsia="方正小标宋简体" w:hint="eastAsia"/>
          <w:sz w:val="44"/>
          <w:szCs w:val="44"/>
        </w:rPr>
        <w:t>国家食品药品监督管理总局关于</w:t>
      </w:r>
    </w:p>
    <w:p w:rsidR="00F86F14" w:rsidRDefault="00F86F14" w:rsidP="00F86F14">
      <w:pPr>
        <w:adjustRightInd w:val="0"/>
        <w:snapToGrid w:val="0"/>
        <w:jc w:val="center"/>
        <w:rPr>
          <w:rFonts w:ascii="方正小标宋简体" w:eastAsia="方正小标宋简体" w:hint="eastAsia"/>
          <w:sz w:val="44"/>
          <w:szCs w:val="44"/>
        </w:rPr>
      </w:pPr>
      <w:r w:rsidRPr="006D18D4">
        <w:rPr>
          <w:rFonts w:ascii="方正小标宋简体" w:eastAsia="方正小标宋简体" w:hint="eastAsia"/>
          <w:sz w:val="44"/>
          <w:szCs w:val="44"/>
        </w:rPr>
        <w:t>9批中药材及中药饮片检出金胺O的通告</w:t>
      </w:r>
    </w:p>
    <w:p w:rsidR="00F86F14" w:rsidRDefault="00F86F14" w:rsidP="00F86F14">
      <w:pPr>
        <w:adjustRightInd w:val="0"/>
        <w:snapToGrid w:val="0"/>
        <w:ind w:firstLineChars="200" w:firstLine="542"/>
        <w:jc w:val="center"/>
        <w:rPr>
          <w:rFonts w:ascii="楷体_GB2312" w:eastAsia="楷体_GB2312" w:hint="eastAsia"/>
          <w:sz w:val="28"/>
          <w:szCs w:val="28"/>
        </w:rPr>
      </w:pPr>
    </w:p>
    <w:p w:rsidR="00F86F14" w:rsidRPr="0042158E" w:rsidRDefault="00F86F14" w:rsidP="00F86F14">
      <w:pPr>
        <w:adjustRightInd w:val="0"/>
        <w:snapToGrid w:val="0"/>
        <w:ind w:firstLineChars="200" w:firstLine="622"/>
        <w:jc w:val="center"/>
        <w:rPr>
          <w:rFonts w:ascii="楷体_GB2312" w:eastAsia="楷体_GB2312" w:hint="eastAsia"/>
          <w:sz w:val="32"/>
          <w:szCs w:val="32"/>
        </w:rPr>
      </w:pPr>
      <w:r w:rsidRPr="0042158E">
        <w:rPr>
          <w:rFonts w:ascii="楷体_GB2312" w:eastAsia="楷体_GB2312" w:hint="eastAsia"/>
          <w:sz w:val="32"/>
          <w:szCs w:val="32"/>
        </w:rPr>
        <w:t>（2015年第78号）</w:t>
      </w:r>
    </w:p>
    <w:p w:rsidR="00F86F14" w:rsidRDefault="00F86F14" w:rsidP="00F86F14">
      <w:pPr>
        <w:ind w:firstLineChars="200" w:firstLine="622"/>
        <w:rPr>
          <w:rFonts w:ascii="仿宋_GB2312" w:eastAsia="仿宋_GB2312" w:hint="eastAsia"/>
          <w:sz w:val="32"/>
          <w:szCs w:val="32"/>
        </w:rPr>
      </w:pPr>
    </w:p>
    <w:p w:rsidR="00F86F14" w:rsidRPr="00D479B2"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近期，食品药品监管总局在全国范围内组织对黄柏、延胡索等中药材及中药饮片进行了专项监督抽验，分别从药品生产、经营和使用环节进行了抽样，检出9批不合格，现将有关情况通告如下：</w:t>
      </w:r>
    </w:p>
    <w:p w:rsidR="00F86F14" w:rsidRPr="00D479B2"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一、经重庆市食品药品检验检测研究院检验，发现标示为安国市万联中药饮片有限公司、安徽易元堂中药饮片科技有限公司、安徽沪昆中药饮片有限公司、亳州市长生中药饮片有限公司、亳州市贡药饮片厂、国药控股广西中药饮片有限公司6家药品生产企业生产的7批黄柏检出金胺O；经广州市药品检验所检验，发现标示为安国市辉发中药饮片加工有限公司生产的1批延胡索、运城市风陵渡开发区华昌药业有限公司售出的1批延胡索检出金胺O（详见附件）。</w:t>
      </w:r>
    </w:p>
    <w:p w:rsidR="00F86F14" w:rsidRPr="00D479B2"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二、金胺O是化学染色剂，曾发现被用于劣质黄柏、蒲黄、延胡索等中药材、中药饮片的非法染色。金胺O对人体具有一定毒性作用，被列为非食用物质，在中药材、中药饮片和中成药中均不得检出。对上述不合格药品，相关企业和单位所在地省（区）食品药品监管部门已依法采取了查封扣押、暂停生产、要求企业</w:t>
      </w:r>
      <w:r w:rsidRPr="00D479B2">
        <w:rPr>
          <w:rFonts w:ascii="仿宋_GB2312" w:eastAsia="仿宋_GB2312" w:hint="eastAsia"/>
          <w:sz w:val="32"/>
          <w:szCs w:val="32"/>
        </w:rPr>
        <w:lastRenderedPageBreak/>
        <w:t>召回产品等控制措施。</w:t>
      </w:r>
    </w:p>
    <w:p w:rsidR="00F86F14" w:rsidRPr="00D479B2"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三、食品药品监管总局要求河北、山西、内蒙古、安徽、福建、江西、广东、广西、陕西等省（区）食品药品监管部门对涉事企业和单位进一步立案调查，严肃处理；涉嫌犯罪的，要及时移送公安机关追究刑事责任。标示为安徽沪昆中药饮片有限公司生产的批号为130801的黄柏系从太原市长寿堂药店有限公司小店部抽取的样品，标示为亳州市贡药饮片厂生产的批号为141215的黄柏系从福建鸿越医药有限公司抽取的样品，两家生产企业均否认产品为本企业生产。请山西、福建省食品药品监管局彻底查清不合格产品来源，请安徽省食品药品监管局对上述两家企业生产销售情况进行调查核实。请山西省食品药品监管局彻查运城市风陵渡开发区华昌药业有限公司不合格延胡索的产品来源。调查处理情况于</w:t>
      </w:r>
      <w:smartTag w:uri="urn:schemas-microsoft-com:office:smarttags" w:element="chsdate">
        <w:smartTagPr>
          <w:attr w:name="Year" w:val="2015"/>
          <w:attr w:name="Month" w:val="11"/>
          <w:attr w:name="Day" w:val="15"/>
          <w:attr w:name="IsLunarDate" w:val="False"/>
          <w:attr w:name="IsROCDate" w:val="False"/>
        </w:smartTagPr>
        <w:r w:rsidRPr="00D479B2">
          <w:rPr>
            <w:rFonts w:ascii="仿宋_GB2312" w:eastAsia="仿宋_GB2312" w:hint="eastAsia"/>
            <w:sz w:val="32"/>
            <w:szCs w:val="32"/>
          </w:rPr>
          <w:t>2015年11月15日前</w:t>
        </w:r>
      </w:smartTag>
      <w:r w:rsidRPr="00D479B2">
        <w:rPr>
          <w:rFonts w:ascii="仿宋_GB2312" w:eastAsia="仿宋_GB2312" w:hint="eastAsia"/>
          <w:sz w:val="32"/>
          <w:szCs w:val="32"/>
        </w:rPr>
        <w:t>报告食品药品监管总局，并及时向社会公布。</w:t>
      </w:r>
    </w:p>
    <w:p w:rsidR="00F86F14" w:rsidRPr="00D479B2"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特此通告。</w:t>
      </w:r>
    </w:p>
    <w:p w:rsidR="00F86F14" w:rsidRDefault="00F86F14" w:rsidP="00F86F14">
      <w:pPr>
        <w:adjustRightInd w:val="0"/>
        <w:snapToGrid w:val="0"/>
        <w:spacing w:line="300" w:lineRule="auto"/>
        <w:ind w:firstLineChars="200" w:firstLine="622"/>
        <w:rPr>
          <w:rFonts w:ascii="仿宋_GB2312" w:eastAsia="仿宋_GB2312" w:hint="eastAsia"/>
          <w:sz w:val="32"/>
          <w:szCs w:val="32"/>
        </w:rPr>
      </w:pPr>
    </w:p>
    <w:p w:rsidR="00F86F14" w:rsidRDefault="00F86F14" w:rsidP="00F86F14">
      <w:pPr>
        <w:adjustRightInd w:val="0"/>
        <w:snapToGrid w:val="0"/>
        <w:spacing w:line="300" w:lineRule="auto"/>
        <w:ind w:firstLineChars="200" w:firstLine="622"/>
        <w:rPr>
          <w:rFonts w:ascii="仿宋_GB2312" w:eastAsia="仿宋_GB2312" w:hint="eastAsia"/>
          <w:sz w:val="32"/>
          <w:szCs w:val="32"/>
        </w:rPr>
      </w:pPr>
      <w:r w:rsidRPr="00D479B2">
        <w:rPr>
          <w:rFonts w:ascii="仿宋_GB2312" w:eastAsia="仿宋_GB2312" w:hint="eastAsia"/>
          <w:sz w:val="32"/>
          <w:szCs w:val="32"/>
        </w:rPr>
        <w:t>附件：检出金胺O的中药材及中药饮片名单</w:t>
      </w:r>
    </w:p>
    <w:p w:rsidR="00F86F14" w:rsidRDefault="00F86F14" w:rsidP="00F86F14">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F86F14" w:rsidRDefault="00F86F14" w:rsidP="00F86F14">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F86F14" w:rsidRDefault="00F86F14" w:rsidP="00F86F14">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F86F14" w:rsidRDefault="00F86F14" w:rsidP="00F86F14">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国家食品药品监督管理总局</w:t>
      </w:r>
    </w:p>
    <w:p w:rsidR="00F86F14" w:rsidRDefault="00F86F14" w:rsidP="00F86F14">
      <w:pPr>
        <w:spacing w:line="560" w:lineRule="exact"/>
        <w:rPr>
          <w:rFonts w:ascii="仿宋_GB2312" w:eastAsia="仿宋_GB2312" w:hAnsi="宋体" w:hint="eastAsia"/>
          <w:sz w:val="32"/>
          <w:szCs w:val="32"/>
        </w:rPr>
      </w:pPr>
      <w:r w:rsidRPr="008561BF">
        <w:rPr>
          <w:rFonts w:ascii="仿宋_GB2312" w:eastAsia="仿宋_GB2312" w:hAnsi="宋体" w:hint="eastAsia"/>
          <w:sz w:val="32"/>
          <w:szCs w:val="32"/>
        </w:rPr>
        <w:t xml:space="preserve">　　　　　　　　　　　　　　　　</w:t>
      </w:r>
      <w:bookmarkStart w:id="0" w:name="signOutTime"/>
      <w:r>
        <w:rPr>
          <w:rFonts w:ascii="仿宋_GB2312" w:eastAsia="仿宋_GB2312" w:hAnsi="宋体"/>
          <w:sz w:val="32"/>
          <w:szCs w:val="32"/>
        </w:rPr>
        <w:t>2015年10月2</w:t>
      </w:r>
      <w:r>
        <w:rPr>
          <w:rFonts w:ascii="仿宋_GB2312" w:eastAsia="仿宋_GB2312" w:hAnsi="宋体" w:hint="eastAsia"/>
          <w:sz w:val="32"/>
          <w:szCs w:val="32"/>
        </w:rPr>
        <w:t>3</w:t>
      </w:r>
      <w:r>
        <w:rPr>
          <w:rFonts w:ascii="仿宋_GB2312" w:eastAsia="仿宋_GB2312" w:hAnsi="宋体"/>
          <w:sz w:val="32"/>
          <w:szCs w:val="32"/>
        </w:rPr>
        <w:t>日</w:t>
      </w:r>
      <w:bookmarkEnd w:id="0"/>
      <w:r>
        <w:rPr>
          <w:rFonts w:ascii="仿宋_GB2312" w:eastAsia="仿宋_GB2312" w:hAnsi="宋体" w:hint="eastAsia"/>
          <w:sz w:val="32"/>
          <w:szCs w:val="32"/>
        </w:rPr>
        <w:t xml:space="preserve">　　　　</w:t>
      </w:r>
    </w:p>
    <w:p w:rsidR="00F86F14" w:rsidRDefault="00F86F14" w:rsidP="00F86F14">
      <w:pPr>
        <w:adjustRightInd w:val="0"/>
        <w:snapToGrid w:val="0"/>
        <w:spacing w:line="300" w:lineRule="auto"/>
        <w:ind w:firstLineChars="200" w:firstLine="622"/>
        <w:rPr>
          <w:rFonts w:ascii="仿宋_GB2312" w:eastAsia="仿宋_GB2312" w:hint="eastAsia"/>
          <w:sz w:val="32"/>
          <w:szCs w:val="32"/>
        </w:rPr>
      </w:pPr>
    </w:p>
    <w:p w:rsidR="00F86F14" w:rsidRDefault="00F86F14" w:rsidP="00F86F14">
      <w:pPr>
        <w:adjustRightInd w:val="0"/>
        <w:snapToGrid w:val="0"/>
        <w:spacing w:line="300" w:lineRule="auto"/>
        <w:ind w:firstLineChars="200" w:firstLine="622"/>
        <w:rPr>
          <w:rFonts w:ascii="仿宋_GB2312" w:eastAsia="仿宋_GB2312" w:hint="eastAsia"/>
          <w:sz w:val="32"/>
          <w:szCs w:val="32"/>
        </w:rPr>
      </w:pPr>
    </w:p>
    <w:p w:rsidR="00F86F14" w:rsidRDefault="00F86F14" w:rsidP="00F86F14">
      <w:pPr>
        <w:adjustRightInd w:val="0"/>
        <w:snapToGrid w:val="0"/>
        <w:spacing w:line="300" w:lineRule="auto"/>
        <w:ind w:firstLineChars="200" w:firstLine="622"/>
        <w:rPr>
          <w:rFonts w:ascii="仿宋_GB2312" w:eastAsia="仿宋_GB2312"/>
          <w:sz w:val="32"/>
          <w:szCs w:val="32"/>
        </w:rPr>
        <w:sectPr w:rsidR="00F86F14" w:rsidSect="0084431F">
          <w:footerReference w:type="even" r:id="rId5"/>
          <w:footerReference w:type="default" r:id="rId6"/>
          <w:pgSz w:w="11906" w:h="16838" w:code="9"/>
          <w:pgMar w:top="2098" w:right="1474" w:bottom="1985" w:left="1588" w:header="851" w:footer="1588" w:gutter="0"/>
          <w:cols w:space="425"/>
          <w:docGrid w:type="linesAndChars" w:linePitch="579" w:charSpace="-1844"/>
        </w:sectPr>
      </w:pPr>
    </w:p>
    <w:p w:rsidR="00F86F14" w:rsidRPr="0042158E" w:rsidRDefault="00F86F14" w:rsidP="00F86F14">
      <w:pPr>
        <w:rPr>
          <w:rFonts w:ascii="黑体" w:eastAsia="黑体" w:hint="eastAsia"/>
          <w:sz w:val="32"/>
          <w:szCs w:val="32"/>
        </w:rPr>
      </w:pPr>
      <w:r w:rsidRPr="0042158E">
        <w:rPr>
          <w:rFonts w:ascii="黑体" w:eastAsia="黑体" w:hint="eastAsia"/>
          <w:sz w:val="32"/>
          <w:szCs w:val="32"/>
        </w:rPr>
        <w:lastRenderedPageBreak/>
        <w:t>总局2015年第78号通告附件</w:t>
      </w:r>
    </w:p>
    <w:p w:rsidR="00F86F14" w:rsidRPr="0071739D" w:rsidRDefault="00F86F14" w:rsidP="00F86F14">
      <w:pPr>
        <w:adjustRightInd w:val="0"/>
        <w:snapToGrid w:val="0"/>
        <w:spacing w:beforeLines="20" w:before="115"/>
        <w:jc w:val="center"/>
        <w:rPr>
          <w:rFonts w:eastAsia="方正小标宋简体"/>
          <w:sz w:val="44"/>
          <w:szCs w:val="44"/>
        </w:rPr>
      </w:pPr>
      <w:r w:rsidRPr="0071739D">
        <w:rPr>
          <w:rFonts w:eastAsia="方正小标宋简体"/>
          <w:sz w:val="44"/>
          <w:szCs w:val="44"/>
        </w:rPr>
        <w:t>检出金胺</w:t>
      </w:r>
      <w:r w:rsidRPr="0071739D">
        <w:rPr>
          <w:rFonts w:eastAsia="方正小标宋简体"/>
          <w:sz w:val="44"/>
          <w:szCs w:val="44"/>
        </w:rPr>
        <w:t>O</w:t>
      </w:r>
      <w:r w:rsidRPr="0071739D">
        <w:rPr>
          <w:rFonts w:eastAsia="方正小标宋简体"/>
          <w:sz w:val="44"/>
          <w:szCs w:val="44"/>
        </w:rPr>
        <w:t>的中药材及中药饮片名单</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945"/>
        <w:gridCol w:w="1904"/>
        <w:gridCol w:w="1074"/>
        <w:gridCol w:w="1730"/>
        <w:gridCol w:w="2078"/>
        <w:gridCol w:w="732"/>
        <w:gridCol w:w="1564"/>
        <w:gridCol w:w="1110"/>
        <w:gridCol w:w="1834"/>
      </w:tblGrid>
      <w:tr w:rsidR="00F86F14" w:rsidRPr="00CE0EAD" w:rsidTr="00FD742E">
        <w:trPr>
          <w:trHeight w:val="560"/>
          <w:jc w:val="center"/>
        </w:trPr>
        <w:tc>
          <w:tcPr>
            <w:tcW w:w="364"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药品品名</w:t>
            </w:r>
          </w:p>
        </w:tc>
        <w:tc>
          <w:tcPr>
            <w:tcW w:w="734"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标示生产企业</w:t>
            </w:r>
          </w:p>
        </w:tc>
        <w:tc>
          <w:tcPr>
            <w:tcW w:w="414"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生产批号</w:t>
            </w:r>
          </w:p>
        </w:tc>
        <w:tc>
          <w:tcPr>
            <w:tcW w:w="667"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被抽样单位</w:t>
            </w:r>
          </w:p>
        </w:tc>
        <w:tc>
          <w:tcPr>
            <w:tcW w:w="801"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检验依据</w:t>
            </w:r>
          </w:p>
        </w:tc>
        <w:tc>
          <w:tcPr>
            <w:tcW w:w="282"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检验</w:t>
            </w:r>
            <w:r w:rsidRPr="0042158E">
              <w:rPr>
                <w:rFonts w:ascii="仿宋_GB2312" w:eastAsia="仿宋_GB2312" w:hint="eastAsia"/>
                <w:b/>
                <w:bCs/>
                <w:kern w:val="0"/>
                <w:sz w:val="18"/>
                <w:szCs w:val="18"/>
              </w:rPr>
              <w:br/>
              <w:t>结果</w:t>
            </w:r>
          </w:p>
        </w:tc>
        <w:tc>
          <w:tcPr>
            <w:tcW w:w="603" w:type="pct"/>
            <w:shd w:val="clear" w:color="auto" w:fill="auto"/>
            <w:vAlign w:val="center"/>
          </w:tcPr>
          <w:p w:rsidR="00F86F14" w:rsidRPr="0042158E" w:rsidRDefault="00F86F14" w:rsidP="00FD742E">
            <w:pPr>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不合格项目</w:t>
            </w:r>
          </w:p>
        </w:tc>
        <w:tc>
          <w:tcPr>
            <w:tcW w:w="428"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检验单位</w:t>
            </w:r>
          </w:p>
        </w:tc>
        <w:tc>
          <w:tcPr>
            <w:tcW w:w="708" w:type="pct"/>
            <w:shd w:val="clear" w:color="auto" w:fill="auto"/>
            <w:vAlign w:val="center"/>
          </w:tcPr>
          <w:p w:rsidR="00F86F14" w:rsidRPr="0042158E" w:rsidRDefault="00F86F14" w:rsidP="00FD742E">
            <w:pPr>
              <w:widowControl/>
              <w:spacing w:line="240" w:lineRule="exact"/>
              <w:jc w:val="center"/>
              <w:rPr>
                <w:rFonts w:ascii="仿宋_GB2312" w:eastAsia="仿宋_GB2312" w:hint="eastAsia"/>
                <w:b/>
                <w:bCs/>
                <w:kern w:val="0"/>
                <w:sz w:val="18"/>
                <w:szCs w:val="18"/>
              </w:rPr>
            </w:pPr>
            <w:r w:rsidRPr="0042158E">
              <w:rPr>
                <w:rFonts w:ascii="仿宋_GB2312" w:eastAsia="仿宋_GB2312" w:hint="eastAsia"/>
                <w:b/>
                <w:bCs/>
                <w:kern w:val="0"/>
                <w:sz w:val="18"/>
                <w:szCs w:val="18"/>
              </w:rPr>
              <w:t>备注</w:t>
            </w:r>
          </w:p>
        </w:tc>
      </w:tr>
      <w:tr w:rsidR="00F86F14" w:rsidRPr="00CE0EAD" w:rsidTr="00FD742E">
        <w:trPr>
          <w:trHeight w:val="600"/>
          <w:jc w:val="center"/>
        </w:trPr>
        <w:tc>
          <w:tcPr>
            <w:tcW w:w="364"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黄柏</w:t>
            </w: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安国市万联中药饮片有限公司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内蒙古仁爱堂药业有限公司</w:t>
            </w:r>
          </w:p>
        </w:tc>
        <w:tc>
          <w:tcPr>
            <w:tcW w:w="801"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国家食品药品监督管理局药品检验补充检验方法和检验项目批准件2010003</w:t>
            </w:r>
          </w:p>
        </w:tc>
        <w:tc>
          <w:tcPr>
            <w:tcW w:w="282"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检出</w:t>
            </w:r>
            <w:r w:rsidRPr="00CE0EAD">
              <w:rPr>
                <w:rFonts w:ascii="仿宋_GB2312" w:eastAsia="仿宋_GB2312" w:hint="eastAsia"/>
                <w:kern w:val="0"/>
                <w:sz w:val="18"/>
                <w:szCs w:val="18"/>
              </w:rPr>
              <w:br/>
              <w:t>金胺O</w:t>
            </w:r>
          </w:p>
        </w:tc>
        <w:tc>
          <w:tcPr>
            <w:tcW w:w="603"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p w:rsidR="00F86F14" w:rsidRPr="00CE0EAD" w:rsidRDefault="00F86F14" w:rsidP="00FD742E">
            <w:pPr>
              <w:widowControl/>
              <w:spacing w:line="240" w:lineRule="exact"/>
              <w:jc w:val="center"/>
              <w:rPr>
                <w:rFonts w:ascii="仿宋_GB2312" w:eastAsia="仿宋_GB2312" w:hint="eastAsia"/>
                <w:kern w:val="0"/>
                <w:sz w:val="18"/>
                <w:szCs w:val="18"/>
              </w:rPr>
            </w:pPr>
          </w:p>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w:t>
            </w:r>
          </w:p>
          <w:p w:rsidR="00F86F14" w:rsidRPr="00CE0EAD" w:rsidRDefault="00F86F14" w:rsidP="00FD742E">
            <w:pPr>
              <w:widowControl/>
              <w:spacing w:line="240" w:lineRule="exact"/>
              <w:jc w:val="center"/>
              <w:rPr>
                <w:rFonts w:ascii="仿宋_GB2312" w:eastAsia="仿宋_GB2312" w:hint="eastAsia"/>
                <w:kern w:val="0"/>
                <w:sz w:val="18"/>
                <w:szCs w:val="18"/>
              </w:rPr>
            </w:pPr>
          </w:p>
          <w:p w:rsidR="00F86F14" w:rsidRPr="00CE0EAD" w:rsidRDefault="00F86F14" w:rsidP="00FD742E">
            <w:pPr>
              <w:widowControl/>
              <w:spacing w:line="240" w:lineRule="exact"/>
              <w:jc w:val="center"/>
              <w:rPr>
                <w:rFonts w:ascii="仿宋_GB2312" w:eastAsia="仿宋_GB2312" w:hint="eastAsia"/>
                <w:kern w:val="0"/>
                <w:sz w:val="18"/>
                <w:szCs w:val="18"/>
              </w:rPr>
            </w:pPr>
          </w:p>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重市食品药品检验检测研究院</w:t>
            </w: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600"/>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安徽易元堂中药饮片科技有限公司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140910</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西安市怡康西延路店</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600"/>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亳州市长生中药饮片有限公司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140904</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上饶家家大药房有限公司</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283"/>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国药控股广西中药饮片有限公司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CA150201</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深圳市龙华新区中心医院</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314"/>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CA150401</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深圳华侨城医院</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70"/>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安徽沪昆中药饮片有限公司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130801</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太原市长寿堂药店有限公司小店部</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标示生产企业否认该产品为该企业生产</w:t>
            </w:r>
          </w:p>
        </w:tc>
      </w:tr>
      <w:tr w:rsidR="00F86F14" w:rsidRPr="00CE0EAD" w:rsidTr="00FD742E">
        <w:trPr>
          <w:trHeight w:val="360"/>
          <w:jc w:val="center"/>
        </w:trPr>
        <w:tc>
          <w:tcPr>
            <w:tcW w:w="364"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亳州市贡药饮片厂</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141215</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福建鸿越医药有限公司</w:t>
            </w:r>
          </w:p>
        </w:tc>
        <w:tc>
          <w:tcPr>
            <w:tcW w:w="801"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282"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03" w:type="pct"/>
            <w:vMerge/>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标示生产企业否认该产品为该企业生产</w:t>
            </w:r>
          </w:p>
        </w:tc>
      </w:tr>
      <w:tr w:rsidR="00F86F14" w:rsidRPr="00CE0EAD" w:rsidTr="00FD742E">
        <w:trPr>
          <w:trHeight w:val="465"/>
          <w:jc w:val="center"/>
        </w:trPr>
        <w:tc>
          <w:tcPr>
            <w:tcW w:w="36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延胡索（醋延胡索）</w:t>
            </w:r>
          </w:p>
        </w:tc>
        <w:tc>
          <w:tcPr>
            <w:tcW w:w="73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安国市辉发中药饮片加工有限公司</w:t>
            </w:r>
          </w:p>
        </w:tc>
        <w:tc>
          <w:tcPr>
            <w:tcW w:w="414"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140301</w:t>
            </w:r>
          </w:p>
        </w:tc>
        <w:tc>
          <w:tcPr>
            <w:tcW w:w="667"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大同市第一人民医院</w:t>
            </w:r>
          </w:p>
        </w:tc>
        <w:tc>
          <w:tcPr>
            <w:tcW w:w="801" w:type="pct"/>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国家食品药品监督管理局药品检验补充检验方法和检验项目批准件2010006</w:t>
            </w:r>
          </w:p>
        </w:tc>
        <w:tc>
          <w:tcPr>
            <w:tcW w:w="282" w:type="pct"/>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检出</w:t>
            </w:r>
            <w:r w:rsidRPr="00CE0EAD">
              <w:rPr>
                <w:rFonts w:ascii="仿宋_GB2312" w:eastAsia="仿宋_GB2312" w:hint="eastAsia"/>
                <w:kern w:val="0"/>
                <w:sz w:val="18"/>
                <w:szCs w:val="18"/>
              </w:rPr>
              <w:br/>
              <w:t>金胺O</w:t>
            </w:r>
          </w:p>
        </w:tc>
        <w:tc>
          <w:tcPr>
            <w:tcW w:w="603" w:type="pct"/>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w:t>
            </w:r>
          </w:p>
        </w:tc>
        <w:tc>
          <w:tcPr>
            <w:tcW w:w="428"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广州市药品检验所</w:t>
            </w:r>
          </w:p>
        </w:tc>
        <w:tc>
          <w:tcPr>
            <w:tcW w:w="708"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r w:rsidR="00F86F14" w:rsidRPr="00CE0EAD" w:rsidTr="00FD742E">
        <w:trPr>
          <w:trHeight w:val="693"/>
          <w:jc w:val="center"/>
        </w:trPr>
        <w:tc>
          <w:tcPr>
            <w:tcW w:w="364"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延胡索</w:t>
            </w:r>
          </w:p>
        </w:tc>
        <w:tc>
          <w:tcPr>
            <w:tcW w:w="734"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414"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150519</w:t>
            </w:r>
          </w:p>
        </w:tc>
        <w:tc>
          <w:tcPr>
            <w:tcW w:w="667"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亚宝药业集团股份有限公司</w:t>
            </w:r>
          </w:p>
        </w:tc>
        <w:tc>
          <w:tcPr>
            <w:tcW w:w="801" w:type="pct"/>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《中国药典》</w:t>
            </w:r>
          </w:p>
          <w:p w:rsidR="00F86F14" w:rsidRPr="00CE0EAD" w:rsidRDefault="00F86F14" w:rsidP="00FD742E">
            <w:pPr>
              <w:spacing w:line="240" w:lineRule="exact"/>
              <w:jc w:val="center"/>
              <w:rPr>
                <w:rFonts w:ascii="仿宋_GB2312" w:eastAsia="仿宋_GB2312" w:hint="eastAsia"/>
                <w:b/>
                <w:kern w:val="0"/>
                <w:sz w:val="18"/>
                <w:szCs w:val="18"/>
              </w:rPr>
            </w:pPr>
            <w:r w:rsidRPr="00CE0EAD">
              <w:rPr>
                <w:rFonts w:ascii="仿宋_GB2312" w:eastAsia="仿宋_GB2312" w:hint="eastAsia"/>
                <w:kern w:val="0"/>
                <w:sz w:val="18"/>
                <w:szCs w:val="18"/>
              </w:rPr>
              <w:t>2010年版一部</w:t>
            </w:r>
          </w:p>
        </w:tc>
        <w:tc>
          <w:tcPr>
            <w:tcW w:w="282" w:type="pct"/>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不符合规定</w:t>
            </w:r>
          </w:p>
        </w:tc>
        <w:tc>
          <w:tcPr>
            <w:tcW w:w="603" w:type="pc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[性状]；[鉴别]((1)显微鉴别)</w:t>
            </w: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vMerge w:val="restart"/>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该产品由运城市风陵渡开发区华昌药业有限公司（非药品生产、经营企业）销售</w:t>
            </w:r>
          </w:p>
        </w:tc>
      </w:tr>
      <w:tr w:rsidR="00F86F14" w:rsidRPr="00CE0EAD" w:rsidTr="00FD742E">
        <w:trPr>
          <w:trHeight w:val="816"/>
          <w:jc w:val="center"/>
        </w:trPr>
        <w:tc>
          <w:tcPr>
            <w:tcW w:w="364" w:type="pct"/>
            <w:vMerge/>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34" w:type="pct"/>
            <w:vMerge/>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414" w:type="pct"/>
            <w:vMerge/>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667" w:type="pct"/>
            <w:vMerge/>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801" w:type="pct"/>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国家食品药品监督管理局药品检验补充检验方法和检验项目批准件2010006</w:t>
            </w:r>
          </w:p>
        </w:tc>
        <w:tc>
          <w:tcPr>
            <w:tcW w:w="282" w:type="pct"/>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检出</w:t>
            </w:r>
            <w:r w:rsidRPr="00CE0EAD">
              <w:rPr>
                <w:rFonts w:ascii="仿宋_GB2312" w:eastAsia="仿宋_GB2312" w:hint="eastAsia"/>
                <w:kern w:val="0"/>
                <w:sz w:val="18"/>
                <w:szCs w:val="18"/>
              </w:rPr>
              <w:br/>
              <w:t>金胺O</w:t>
            </w:r>
          </w:p>
        </w:tc>
        <w:tc>
          <w:tcPr>
            <w:tcW w:w="603" w:type="pct"/>
            <w:shd w:val="clear" w:color="auto" w:fill="auto"/>
            <w:vAlign w:val="center"/>
          </w:tcPr>
          <w:p w:rsidR="00F86F14" w:rsidRPr="00CE0EAD" w:rsidRDefault="00F86F14" w:rsidP="00FD742E">
            <w:pPr>
              <w:spacing w:line="240" w:lineRule="exact"/>
              <w:jc w:val="center"/>
              <w:rPr>
                <w:rFonts w:ascii="仿宋_GB2312" w:eastAsia="仿宋_GB2312" w:hint="eastAsia"/>
                <w:kern w:val="0"/>
                <w:sz w:val="18"/>
                <w:szCs w:val="18"/>
              </w:rPr>
            </w:pPr>
            <w:r w:rsidRPr="00CE0EAD">
              <w:rPr>
                <w:rFonts w:ascii="仿宋_GB2312" w:eastAsia="仿宋_GB2312" w:hint="eastAsia"/>
                <w:kern w:val="0"/>
                <w:sz w:val="18"/>
                <w:szCs w:val="18"/>
              </w:rPr>
              <w:t>/</w:t>
            </w:r>
          </w:p>
        </w:tc>
        <w:tc>
          <w:tcPr>
            <w:tcW w:w="428" w:type="pct"/>
            <w:vMerge/>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c>
          <w:tcPr>
            <w:tcW w:w="708" w:type="pct"/>
            <w:vMerge/>
            <w:shd w:val="clear" w:color="auto" w:fill="auto"/>
            <w:vAlign w:val="center"/>
          </w:tcPr>
          <w:p w:rsidR="00F86F14" w:rsidRPr="00CE0EAD" w:rsidRDefault="00F86F14" w:rsidP="00FD742E">
            <w:pPr>
              <w:widowControl/>
              <w:spacing w:line="240" w:lineRule="exact"/>
              <w:jc w:val="center"/>
              <w:rPr>
                <w:rFonts w:ascii="仿宋_GB2312" w:eastAsia="仿宋_GB2312" w:hint="eastAsia"/>
                <w:kern w:val="0"/>
                <w:sz w:val="18"/>
                <w:szCs w:val="18"/>
              </w:rPr>
            </w:pPr>
          </w:p>
        </w:tc>
      </w:tr>
    </w:tbl>
    <w:p w:rsidR="00F86F14" w:rsidRPr="007534CA" w:rsidRDefault="00F86F14" w:rsidP="00F86F14">
      <w:pPr>
        <w:pStyle w:val="a3"/>
        <w:framePr w:w="584" w:h="1746" w:hRule="exact" w:wrap="around" w:vAnchor="page" w:hAnchor="page" w:x="1022" w:y="1645"/>
        <w:jc w:val="center"/>
        <w:textDirection w:val="tbRlV"/>
        <w:rPr>
          <w:rStyle w:val="a4"/>
          <w:rFonts w:ascii="仿宋_GB2312" w:hint="eastAsia"/>
          <w:sz w:val="28"/>
          <w:szCs w:val="28"/>
        </w:rPr>
      </w:pPr>
      <w:r w:rsidRPr="007534CA">
        <w:rPr>
          <w:rStyle w:val="a4"/>
          <w:rFonts w:ascii="仿宋_GB2312" w:hint="eastAsia"/>
          <w:kern w:val="0"/>
          <w:sz w:val="28"/>
          <w:szCs w:val="28"/>
        </w:rPr>
        <w:t>—</w:t>
      </w:r>
      <w:r w:rsidRPr="007534CA">
        <w:rPr>
          <w:rStyle w:val="a4"/>
          <w:rFonts w:ascii="仿宋_GB2312"/>
          <w:kern w:val="0"/>
          <w:sz w:val="28"/>
          <w:szCs w:val="28"/>
        </w:rPr>
        <w:t xml:space="preserve"> </w:t>
      </w:r>
      <w:r>
        <w:rPr>
          <w:rStyle w:val="a4"/>
          <w:rFonts w:ascii="宋体" w:hAnsi="宋体" w:hint="eastAsia"/>
          <w:kern w:val="0"/>
          <w:sz w:val="28"/>
          <w:szCs w:val="28"/>
        </w:rPr>
        <w:t>6</w:t>
      </w:r>
      <w:r w:rsidRPr="007534CA">
        <w:rPr>
          <w:rStyle w:val="a4"/>
          <w:rFonts w:ascii="宋体" w:hAnsi="宋体"/>
          <w:kern w:val="0"/>
          <w:sz w:val="28"/>
          <w:szCs w:val="28"/>
        </w:rPr>
        <w:t xml:space="preserve"> </w:t>
      </w:r>
      <w:r w:rsidRPr="007534CA">
        <w:rPr>
          <w:rStyle w:val="a4"/>
          <w:rFonts w:ascii="仿宋_GB2312" w:hint="eastAsia"/>
          <w:kern w:val="0"/>
          <w:sz w:val="28"/>
          <w:szCs w:val="28"/>
        </w:rPr>
        <w:t>—</w:t>
      </w:r>
    </w:p>
    <w:p w:rsidR="00F86F14" w:rsidRDefault="00F86F14" w:rsidP="00F86F14">
      <w:pPr>
        <w:rPr>
          <w:rFonts w:eastAsia="仿宋_GB2312"/>
          <w:sz w:val="28"/>
          <w:szCs w:val="28"/>
        </w:rPr>
        <w:sectPr w:rsidR="00F86F14" w:rsidSect="0042158E">
          <w:footerReference w:type="even" r:id="rId7"/>
          <w:footerReference w:type="default" r:id="rId8"/>
          <w:pgSz w:w="16838" w:h="11906" w:orient="landscape" w:code="9"/>
          <w:pgMar w:top="1588" w:right="2098" w:bottom="1474" w:left="1985" w:header="851" w:footer="851" w:gutter="0"/>
          <w:cols w:space="425"/>
          <w:docGrid w:type="linesAndChars" w:linePitch="579" w:charSpace="-1844"/>
        </w:sectPr>
      </w:pPr>
    </w:p>
    <w:p w:rsidR="004B0DD2" w:rsidRDefault="004B0DD2">
      <w:bookmarkStart w:id="1" w:name="_GoBack"/>
      <w:bookmarkEnd w:id="1"/>
    </w:p>
    <w:sectPr w:rsidR="004B0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42" w:rsidRPr="003B5C28" w:rsidRDefault="00F86F14" w:rsidP="0042158E">
    <w:pPr>
      <w:pStyle w:val="a3"/>
      <w:framePr w:w="1406" w:wrap="around" w:vAnchor="text" w:hAnchor="margin" w:xAlign="outside" w:y="1"/>
      <w:ind w:right="140"/>
      <w:jc w:val="right"/>
      <w:rPr>
        <w:rStyle w:val="a4"/>
        <w:rFonts w:ascii="宋体" w:hAnsi="宋体" w:hint="eastAsia"/>
        <w:sz w:val="28"/>
        <w:szCs w:val="28"/>
      </w:rPr>
    </w:pPr>
    <w:r>
      <w:rPr>
        <w:rStyle w:val="a4"/>
        <w:rFonts w:ascii="宋体" w:hAnsi="宋体" w:hint="eastAsia"/>
        <w:sz w:val="28"/>
        <w:szCs w:val="28"/>
      </w:rPr>
      <w:t xml:space="preserve">　—</w:t>
    </w:r>
    <w:r>
      <w:rPr>
        <w:rStyle w:val="a4"/>
        <w:rFonts w:ascii="宋体" w:hAnsi="宋体" w:hint="eastAsia"/>
        <w:sz w:val="28"/>
        <w:szCs w:val="28"/>
      </w:rPr>
      <w:t xml:space="preserve"> </w:t>
    </w:r>
    <w:r w:rsidRPr="003B5C28">
      <w:rPr>
        <w:rStyle w:val="a4"/>
        <w:rFonts w:ascii="宋体" w:hAnsi="宋体"/>
        <w:sz w:val="28"/>
        <w:szCs w:val="28"/>
      </w:rPr>
      <w:fldChar w:fldCharType="begin"/>
    </w:r>
    <w:r w:rsidRPr="003B5C28">
      <w:rPr>
        <w:rStyle w:val="a4"/>
        <w:rFonts w:ascii="宋体" w:hAnsi="宋体"/>
        <w:sz w:val="28"/>
        <w:szCs w:val="28"/>
      </w:rPr>
      <w:instrText xml:space="preserve">PAGE  </w:instrText>
    </w:r>
    <w:r w:rsidRPr="003B5C28">
      <w:rPr>
        <w:rStyle w:val="a4"/>
        <w:rFonts w:ascii="宋体" w:hAnsi="宋体"/>
        <w:sz w:val="28"/>
        <w:szCs w:val="28"/>
      </w:rPr>
      <w:fldChar w:fldCharType="separate"/>
    </w:r>
    <w:r>
      <w:rPr>
        <w:rStyle w:val="a4"/>
        <w:rFonts w:ascii="宋体" w:hAnsi="宋体"/>
        <w:noProof/>
        <w:sz w:val="28"/>
        <w:szCs w:val="28"/>
      </w:rPr>
      <w:t>4</w:t>
    </w:r>
    <w:r w:rsidRPr="003B5C28">
      <w:rPr>
        <w:rStyle w:val="a4"/>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406242" w:rsidRDefault="00F86F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42" w:rsidRPr="007534CA" w:rsidRDefault="00F86F14" w:rsidP="0042158E">
    <w:pPr>
      <w:pStyle w:val="a3"/>
      <w:framePr w:w="1264" w:wrap="around" w:vAnchor="text" w:hAnchor="page" w:x="9186" w:y="1"/>
      <w:rPr>
        <w:rStyle w:val="a4"/>
        <w:rFonts w:ascii="仿宋_GB2312" w:hint="eastAsia"/>
        <w:sz w:val="28"/>
        <w:szCs w:val="28"/>
      </w:rPr>
    </w:pPr>
    <w:r w:rsidRPr="007534CA">
      <w:rPr>
        <w:rStyle w:val="a4"/>
        <w:rFonts w:ascii="仿宋_GB2312" w:hint="eastAsia"/>
        <w:kern w:val="0"/>
        <w:sz w:val="28"/>
        <w:szCs w:val="28"/>
      </w:rPr>
      <w:t>—</w:t>
    </w:r>
    <w:r w:rsidRPr="007534CA">
      <w:rPr>
        <w:rStyle w:val="a4"/>
        <w:rFonts w:ascii="仿宋_GB2312"/>
        <w:kern w:val="0"/>
        <w:sz w:val="28"/>
        <w:szCs w:val="28"/>
      </w:rPr>
      <w:t xml:space="preserve"> </w:t>
    </w:r>
    <w:r w:rsidRPr="007534CA">
      <w:rPr>
        <w:rStyle w:val="a4"/>
        <w:rFonts w:ascii="宋体" w:hAnsi="宋体"/>
        <w:kern w:val="0"/>
        <w:sz w:val="28"/>
        <w:szCs w:val="28"/>
      </w:rPr>
      <w:fldChar w:fldCharType="begin"/>
    </w:r>
    <w:r w:rsidRPr="007534CA">
      <w:rPr>
        <w:rStyle w:val="a4"/>
        <w:rFonts w:ascii="宋体" w:hAnsi="宋体"/>
        <w:kern w:val="0"/>
        <w:sz w:val="28"/>
        <w:szCs w:val="28"/>
      </w:rPr>
      <w:instrText xml:space="preserve"> PAGE </w:instrText>
    </w:r>
    <w:r w:rsidRPr="007534CA">
      <w:rPr>
        <w:rStyle w:val="a4"/>
        <w:rFonts w:ascii="宋体" w:hAnsi="宋体"/>
        <w:kern w:val="0"/>
        <w:sz w:val="28"/>
        <w:szCs w:val="28"/>
      </w:rPr>
      <w:fldChar w:fldCharType="separate"/>
    </w:r>
    <w:r>
      <w:rPr>
        <w:rStyle w:val="a4"/>
        <w:rFonts w:ascii="宋体" w:hAnsi="宋体"/>
        <w:noProof/>
        <w:kern w:val="0"/>
        <w:sz w:val="28"/>
        <w:szCs w:val="28"/>
      </w:rPr>
      <w:t>2</w:t>
    </w:r>
    <w:r w:rsidRPr="007534CA">
      <w:rPr>
        <w:rStyle w:val="a4"/>
        <w:rFonts w:ascii="宋体" w:hAnsi="宋体"/>
        <w:kern w:val="0"/>
        <w:sz w:val="28"/>
        <w:szCs w:val="28"/>
      </w:rPr>
      <w:fldChar w:fldCharType="end"/>
    </w:r>
    <w:r w:rsidRPr="007534CA">
      <w:rPr>
        <w:rStyle w:val="a4"/>
        <w:rFonts w:ascii="宋体" w:hAnsi="宋体"/>
        <w:kern w:val="0"/>
        <w:sz w:val="28"/>
        <w:szCs w:val="28"/>
      </w:rPr>
      <w:t xml:space="preserve"> </w:t>
    </w:r>
    <w:r w:rsidRPr="007534CA">
      <w:rPr>
        <w:rStyle w:val="a4"/>
        <w:rFonts w:ascii="仿宋_GB2312" w:hint="eastAsia"/>
        <w:kern w:val="0"/>
        <w:sz w:val="28"/>
        <w:szCs w:val="28"/>
      </w:rPr>
      <w:t>—</w:t>
    </w:r>
    <w:r>
      <w:rPr>
        <w:rStyle w:val="a4"/>
        <w:rFonts w:ascii="仿宋_GB2312" w:hint="eastAsia"/>
        <w:kern w:val="0"/>
        <w:sz w:val="28"/>
        <w:szCs w:val="28"/>
      </w:rPr>
      <w:t xml:space="preserve">　</w:t>
    </w:r>
  </w:p>
  <w:p w:rsidR="00406242" w:rsidRDefault="00F86F1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42" w:rsidRDefault="00F86F14" w:rsidP="003B5C28">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242" w:rsidRPr="007534CA" w:rsidRDefault="00F86F14" w:rsidP="00DB2893">
    <w:pPr>
      <w:pStyle w:val="a3"/>
      <w:framePr w:w="1264" w:wrap="around" w:vAnchor="text" w:hAnchor="page" w:x="9186" w:y="1"/>
      <w:rPr>
        <w:rStyle w:val="a4"/>
        <w:rFonts w:ascii="仿宋_GB2312" w:hint="eastAsia"/>
        <w:sz w:val="28"/>
        <w:szCs w:val="28"/>
      </w:rPr>
    </w:pPr>
    <w:r w:rsidRPr="007534CA">
      <w:rPr>
        <w:rStyle w:val="a4"/>
        <w:rFonts w:ascii="仿宋_GB2312" w:hint="eastAsia"/>
        <w:kern w:val="0"/>
        <w:sz w:val="28"/>
        <w:szCs w:val="28"/>
      </w:rPr>
      <w:t>—</w:t>
    </w:r>
    <w:r w:rsidRPr="007534CA">
      <w:rPr>
        <w:rStyle w:val="a4"/>
        <w:rFonts w:ascii="仿宋_GB2312"/>
        <w:kern w:val="0"/>
        <w:sz w:val="28"/>
        <w:szCs w:val="28"/>
      </w:rPr>
      <w:t xml:space="preserve"> </w:t>
    </w:r>
    <w:r w:rsidRPr="007534CA">
      <w:rPr>
        <w:rStyle w:val="a4"/>
        <w:rFonts w:ascii="宋体" w:hAnsi="宋体"/>
        <w:kern w:val="0"/>
        <w:sz w:val="28"/>
        <w:szCs w:val="28"/>
      </w:rPr>
      <w:fldChar w:fldCharType="begin"/>
    </w:r>
    <w:r w:rsidRPr="007534CA">
      <w:rPr>
        <w:rStyle w:val="a4"/>
        <w:rFonts w:ascii="宋体" w:hAnsi="宋体"/>
        <w:kern w:val="0"/>
        <w:sz w:val="28"/>
        <w:szCs w:val="28"/>
      </w:rPr>
      <w:instrText xml:space="preserve"> PAGE </w:instrText>
    </w:r>
    <w:r w:rsidRPr="007534CA">
      <w:rPr>
        <w:rStyle w:val="a4"/>
        <w:rFonts w:ascii="宋体" w:hAnsi="宋体"/>
        <w:kern w:val="0"/>
        <w:sz w:val="28"/>
        <w:szCs w:val="28"/>
      </w:rPr>
      <w:fldChar w:fldCharType="separate"/>
    </w:r>
    <w:r>
      <w:rPr>
        <w:rStyle w:val="a4"/>
        <w:rFonts w:ascii="宋体" w:hAnsi="宋体"/>
        <w:noProof/>
        <w:kern w:val="0"/>
        <w:sz w:val="28"/>
        <w:szCs w:val="28"/>
      </w:rPr>
      <w:t>3</w:t>
    </w:r>
    <w:r w:rsidRPr="007534CA">
      <w:rPr>
        <w:rStyle w:val="a4"/>
        <w:rFonts w:ascii="宋体" w:hAnsi="宋体"/>
        <w:kern w:val="0"/>
        <w:sz w:val="28"/>
        <w:szCs w:val="28"/>
      </w:rPr>
      <w:fldChar w:fldCharType="end"/>
    </w:r>
    <w:r w:rsidRPr="007534CA">
      <w:rPr>
        <w:rStyle w:val="a4"/>
        <w:rFonts w:ascii="宋体" w:hAnsi="宋体"/>
        <w:kern w:val="0"/>
        <w:sz w:val="28"/>
        <w:szCs w:val="28"/>
      </w:rPr>
      <w:t xml:space="preserve"> </w:t>
    </w:r>
    <w:r w:rsidRPr="007534CA">
      <w:rPr>
        <w:rStyle w:val="a4"/>
        <w:rFonts w:ascii="仿宋_GB2312" w:hint="eastAsia"/>
        <w:kern w:val="0"/>
        <w:sz w:val="28"/>
        <w:szCs w:val="28"/>
      </w:rPr>
      <w:t>—</w:t>
    </w:r>
    <w:r>
      <w:rPr>
        <w:rStyle w:val="a4"/>
        <w:rFonts w:ascii="仿宋_GB2312" w:hint="eastAsia"/>
        <w:kern w:val="0"/>
        <w:sz w:val="28"/>
        <w:szCs w:val="28"/>
      </w:rPr>
      <w:t xml:space="preserve">　</w:t>
    </w:r>
  </w:p>
  <w:p w:rsidR="00406242" w:rsidRPr="00906A82" w:rsidRDefault="00F86F14" w:rsidP="003B5C28">
    <w:pPr>
      <w:pStyle w:val="a3"/>
      <w:ind w:right="360" w:firstLine="360"/>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14"/>
    <w:rsid w:val="000011C3"/>
    <w:rsid w:val="0000188B"/>
    <w:rsid w:val="00006EB8"/>
    <w:rsid w:val="00007D7F"/>
    <w:rsid w:val="00014F96"/>
    <w:rsid w:val="000152EC"/>
    <w:rsid w:val="00015A05"/>
    <w:rsid w:val="00016AB9"/>
    <w:rsid w:val="0002101D"/>
    <w:rsid w:val="00021A46"/>
    <w:rsid w:val="0002658C"/>
    <w:rsid w:val="00026DF5"/>
    <w:rsid w:val="000356EC"/>
    <w:rsid w:val="00036E34"/>
    <w:rsid w:val="000405C5"/>
    <w:rsid w:val="00047500"/>
    <w:rsid w:val="000530F3"/>
    <w:rsid w:val="00053406"/>
    <w:rsid w:val="000561F8"/>
    <w:rsid w:val="00057E8E"/>
    <w:rsid w:val="00062E60"/>
    <w:rsid w:val="00065333"/>
    <w:rsid w:val="0007078D"/>
    <w:rsid w:val="00081F4C"/>
    <w:rsid w:val="00082BE3"/>
    <w:rsid w:val="000863DD"/>
    <w:rsid w:val="000A455B"/>
    <w:rsid w:val="000A481D"/>
    <w:rsid w:val="000A4A86"/>
    <w:rsid w:val="000B58D6"/>
    <w:rsid w:val="000C0329"/>
    <w:rsid w:val="000C3049"/>
    <w:rsid w:val="000C5F95"/>
    <w:rsid w:val="000C6537"/>
    <w:rsid w:val="000D35D3"/>
    <w:rsid w:val="000D45B3"/>
    <w:rsid w:val="000D60EA"/>
    <w:rsid w:val="000E0F4C"/>
    <w:rsid w:val="000E3EA3"/>
    <w:rsid w:val="000F0356"/>
    <w:rsid w:val="000F2F71"/>
    <w:rsid w:val="000F57BD"/>
    <w:rsid w:val="000F66DE"/>
    <w:rsid w:val="00105C17"/>
    <w:rsid w:val="00114AA1"/>
    <w:rsid w:val="00117B35"/>
    <w:rsid w:val="0012638B"/>
    <w:rsid w:val="00127EEE"/>
    <w:rsid w:val="00133CE3"/>
    <w:rsid w:val="00136B0C"/>
    <w:rsid w:val="00143919"/>
    <w:rsid w:val="00147E4B"/>
    <w:rsid w:val="00153D67"/>
    <w:rsid w:val="00157F9A"/>
    <w:rsid w:val="0016088B"/>
    <w:rsid w:val="00166A65"/>
    <w:rsid w:val="00170A01"/>
    <w:rsid w:val="00172B2C"/>
    <w:rsid w:val="001754FB"/>
    <w:rsid w:val="00183C23"/>
    <w:rsid w:val="00195EA4"/>
    <w:rsid w:val="001A2C55"/>
    <w:rsid w:val="001B048B"/>
    <w:rsid w:val="001C4AE3"/>
    <w:rsid w:val="001C6C33"/>
    <w:rsid w:val="001D6044"/>
    <w:rsid w:val="001E37B2"/>
    <w:rsid w:val="001E797B"/>
    <w:rsid w:val="001F13AC"/>
    <w:rsid w:val="001F743F"/>
    <w:rsid w:val="00204064"/>
    <w:rsid w:val="002053F6"/>
    <w:rsid w:val="00206B34"/>
    <w:rsid w:val="0022007F"/>
    <w:rsid w:val="002240D1"/>
    <w:rsid w:val="00233FC7"/>
    <w:rsid w:val="0023583F"/>
    <w:rsid w:val="00242829"/>
    <w:rsid w:val="00244B87"/>
    <w:rsid w:val="00247436"/>
    <w:rsid w:val="00250BF7"/>
    <w:rsid w:val="00252CB4"/>
    <w:rsid w:val="00254A3A"/>
    <w:rsid w:val="00262D91"/>
    <w:rsid w:val="002729EA"/>
    <w:rsid w:val="00272E4A"/>
    <w:rsid w:val="0027375F"/>
    <w:rsid w:val="00286EEC"/>
    <w:rsid w:val="0029069C"/>
    <w:rsid w:val="002944CE"/>
    <w:rsid w:val="00294790"/>
    <w:rsid w:val="00297B15"/>
    <w:rsid w:val="002A21FB"/>
    <w:rsid w:val="002A7CA8"/>
    <w:rsid w:val="002B4F8F"/>
    <w:rsid w:val="002C15D0"/>
    <w:rsid w:val="002D0900"/>
    <w:rsid w:val="002D6901"/>
    <w:rsid w:val="002E5555"/>
    <w:rsid w:val="002E678F"/>
    <w:rsid w:val="002F4F74"/>
    <w:rsid w:val="00302A97"/>
    <w:rsid w:val="00310911"/>
    <w:rsid w:val="00314216"/>
    <w:rsid w:val="00320D53"/>
    <w:rsid w:val="00321C21"/>
    <w:rsid w:val="00324B4F"/>
    <w:rsid w:val="0032523F"/>
    <w:rsid w:val="00327257"/>
    <w:rsid w:val="0034171D"/>
    <w:rsid w:val="003447D9"/>
    <w:rsid w:val="00353FB2"/>
    <w:rsid w:val="0035549C"/>
    <w:rsid w:val="00360A38"/>
    <w:rsid w:val="00360B33"/>
    <w:rsid w:val="00361325"/>
    <w:rsid w:val="00362CA5"/>
    <w:rsid w:val="003662BC"/>
    <w:rsid w:val="0037040B"/>
    <w:rsid w:val="00375C78"/>
    <w:rsid w:val="0037723B"/>
    <w:rsid w:val="003773CD"/>
    <w:rsid w:val="00385026"/>
    <w:rsid w:val="00390C2F"/>
    <w:rsid w:val="00393306"/>
    <w:rsid w:val="0039409A"/>
    <w:rsid w:val="00397C5A"/>
    <w:rsid w:val="003A340D"/>
    <w:rsid w:val="003A5831"/>
    <w:rsid w:val="003A5F22"/>
    <w:rsid w:val="003A6B33"/>
    <w:rsid w:val="003B086B"/>
    <w:rsid w:val="003B6AC6"/>
    <w:rsid w:val="003B7AF5"/>
    <w:rsid w:val="003C1205"/>
    <w:rsid w:val="003C2718"/>
    <w:rsid w:val="003C6472"/>
    <w:rsid w:val="003D09F9"/>
    <w:rsid w:val="003D3901"/>
    <w:rsid w:val="003D4903"/>
    <w:rsid w:val="003F5E0C"/>
    <w:rsid w:val="004021B8"/>
    <w:rsid w:val="00403784"/>
    <w:rsid w:val="0040497E"/>
    <w:rsid w:val="00417943"/>
    <w:rsid w:val="00420528"/>
    <w:rsid w:val="00422893"/>
    <w:rsid w:val="00432631"/>
    <w:rsid w:val="00437AA1"/>
    <w:rsid w:val="00440396"/>
    <w:rsid w:val="004409E2"/>
    <w:rsid w:val="00440F62"/>
    <w:rsid w:val="00444EBD"/>
    <w:rsid w:val="00444F96"/>
    <w:rsid w:val="00445441"/>
    <w:rsid w:val="00447AC8"/>
    <w:rsid w:val="00453966"/>
    <w:rsid w:val="0045776D"/>
    <w:rsid w:val="00465B4C"/>
    <w:rsid w:val="00465CA4"/>
    <w:rsid w:val="00470F46"/>
    <w:rsid w:val="004712D4"/>
    <w:rsid w:val="00474512"/>
    <w:rsid w:val="00474A22"/>
    <w:rsid w:val="004800A1"/>
    <w:rsid w:val="00480FDC"/>
    <w:rsid w:val="004820E2"/>
    <w:rsid w:val="004846CA"/>
    <w:rsid w:val="0049731B"/>
    <w:rsid w:val="004B0DD2"/>
    <w:rsid w:val="004B4E80"/>
    <w:rsid w:val="004C02BF"/>
    <w:rsid w:val="004D0A2C"/>
    <w:rsid w:val="004D1C41"/>
    <w:rsid w:val="004E1C01"/>
    <w:rsid w:val="004F2DDD"/>
    <w:rsid w:val="00501ADC"/>
    <w:rsid w:val="00504277"/>
    <w:rsid w:val="005052BC"/>
    <w:rsid w:val="0050790C"/>
    <w:rsid w:val="0051095A"/>
    <w:rsid w:val="00515B24"/>
    <w:rsid w:val="00524C15"/>
    <w:rsid w:val="005267E8"/>
    <w:rsid w:val="00531BCD"/>
    <w:rsid w:val="005368F3"/>
    <w:rsid w:val="00543107"/>
    <w:rsid w:val="0056098B"/>
    <w:rsid w:val="00566A68"/>
    <w:rsid w:val="005676F3"/>
    <w:rsid w:val="00571755"/>
    <w:rsid w:val="00577B3E"/>
    <w:rsid w:val="00581CCE"/>
    <w:rsid w:val="00583670"/>
    <w:rsid w:val="00587691"/>
    <w:rsid w:val="005927F0"/>
    <w:rsid w:val="00592BDE"/>
    <w:rsid w:val="005A1915"/>
    <w:rsid w:val="005A7106"/>
    <w:rsid w:val="005C023F"/>
    <w:rsid w:val="005D6B4F"/>
    <w:rsid w:val="005E3E2B"/>
    <w:rsid w:val="005E4C6D"/>
    <w:rsid w:val="0060012F"/>
    <w:rsid w:val="006127A6"/>
    <w:rsid w:val="006246D2"/>
    <w:rsid w:val="00626F07"/>
    <w:rsid w:val="006277B5"/>
    <w:rsid w:val="00627B8D"/>
    <w:rsid w:val="0063389E"/>
    <w:rsid w:val="00640A7A"/>
    <w:rsid w:val="00641F5D"/>
    <w:rsid w:val="00643A15"/>
    <w:rsid w:val="00644484"/>
    <w:rsid w:val="00646D43"/>
    <w:rsid w:val="00651641"/>
    <w:rsid w:val="00651FD9"/>
    <w:rsid w:val="00660705"/>
    <w:rsid w:val="00665647"/>
    <w:rsid w:val="00670DD2"/>
    <w:rsid w:val="00673217"/>
    <w:rsid w:val="006801BA"/>
    <w:rsid w:val="0068021A"/>
    <w:rsid w:val="00681375"/>
    <w:rsid w:val="0069198A"/>
    <w:rsid w:val="00691ADA"/>
    <w:rsid w:val="006926FB"/>
    <w:rsid w:val="006975C7"/>
    <w:rsid w:val="006A49D4"/>
    <w:rsid w:val="006A593F"/>
    <w:rsid w:val="006A5A3F"/>
    <w:rsid w:val="006B00A1"/>
    <w:rsid w:val="006B49AA"/>
    <w:rsid w:val="006B6603"/>
    <w:rsid w:val="006D1B5B"/>
    <w:rsid w:val="006D603C"/>
    <w:rsid w:val="006E02E5"/>
    <w:rsid w:val="006E4BFD"/>
    <w:rsid w:val="006F343E"/>
    <w:rsid w:val="006F5072"/>
    <w:rsid w:val="006F6F71"/>
    <w:rsid w:val="00703DF8"/>
    <w:rsid w:val="0071585A"/>
    <w:rsid w:val="0071655B"/>
    <w:rsid w:val="00720C2C"/>
    <w:rsid w:val="007305F6"/>
    <w:rsid w:val="0073557F"/>
    <w:rsid w:val="00743D1C"/>
    <w:rsid w:val="00744896"/>
    <w:rsid w:val="00751033"/>
    <w:rsid w:val="007601B8"/>
    <w:rsid w:val="007619B0"/>
    <w:rsid w:val="00764F3D"/>
    <w:rsid w:val="00771DAF"/>
    <w:rsid w:val="0077475B"/>
    <w:rsid w:val="00780CDF"/>
    <w:rsid w:val="00785B7B"/>
    <w:rsid w:val="00786542"/>
    <w:rsid w:val="00786B2E"/>
    <w:rsid w:val="007872A3"/>
    <w:rsid w:val="00790BF8"/>
    <w:rsid w:val="007A1B47"/>
    <w:rsid w:val="007A5689"/>
    <w:rsid w:val="007A76F1"/>
    <w:rsid w:val="007B26FB"/>
    <w:rsid w:val="007B5030"/>
    <w:rsid w:val="007B58F0"/>
    <w:rsid w:val="007B651F"/>
    <w:rsid w:val="007B65CB"/>
    <w:rsid w:val="007C1CEA"/>
    <w:rsid w:val="007C212A"/>
    <w:rsid w:val="007C4233"/>
    <w:rsid w:val="007C59BA"/>
    <w:rsid w:val="007D1828"/>
    <w:rsid w:val="007D205F"/>
    <w:rsid w:val="007D32F8"/>
    <w:rsid w:val="007D7ADC"/>
    <w:rsid w:val="007E27DD"/>
    <w:rsid w:val="007E6DAC"/>
    <w:rsid w:val="007E75C4"/>
    <w:rsid w:val="007E7FAF"/>
    <w:rsid w:val="007F3063"/>
    <w:rsid w:val="007F7C5C"/>
    <w:rsid w:val="008044A0"/>
    <w:rsid w:val="00805969"/>
    <w:rsid w:val="008062CD"/>
    <w:rsid w:val="00811DB6"/>
    <w:rsid w:val="00813963"/>
    <w:rsid w:val="00814454"/>
    <w:rsid w:val="00815149"/>
    <w:rsid w:val="0081608F"/>
    <w:rsid w:val="00816FC4"/>
    <w:rsid w:val="00824A66"/>
    <w:rsid w:val="00824F25"/>
    <w:rsid w:val="00825D8E"/>
    <w:rsid w:val="008308C8"/>
    <w:rsid w:val="00831AB8"/>
    <w:rsid w:val="00831CA8"/>
    <w:rsid w:val="00832E21"/>
    <w:rsid w:val="0083452F"/>
    <w:rsid w:val="008354DA"/>
    <w:rsid w:val="00837E91"/>
    <w:rsid w:val="00843667"/>
    <w:rsid w:val="00843A4D"/>
    <w:rsid w:val="00861C87"/>
    <w:rsid w:val="00871FF8"/>
    <w:rsid w:val="00873785"/>
    <w:rsid w:val="00886BC6"/>
    <w:rsid w:val="00895C1B"/>
    <w:rsid w:val="00895DE6"/>
    <w:rsid w:val="008960EA"/>
    <w:rsid w:val="008A77C4"/>
    <w:rsid w:val="008C29AB"/>
    <w:rsid w:val="008C2CE8"/>
    <w:rsid w:val="008C446F"/>
    <w:rsid w:val="008C5903"/>
    <w:rsid w:val="008D18D8"/>
    <w:rsid w:val="008D3194"/>
    <w:rsid w:val="008D4468"/>
    <w:rsid w:val="008D6438"/>
    <w:rsid w:val="008E6415"/>
    <w:rsid w:val="008F0B46"/>
    <w:rsid w:val="008F39A0"/>
    <w:rsid w:val="00901F50"/>
    <w:rsid w:val="009030A5"/>
    <w:rsid w:val="00904033"/>
    <w:rsid w:val="00906C80"/>
    <w:rsid w:val="00907BAE"/>
    <w:rsid w:val="0091396E"/>
    <w:rsid w:val="00915066"/>
    <w:rsid w:val="0092143B"/>
    <w:rsid w:val="00922C6C"/>
    <w:rsid w:val="00922CB1"/>
    <w:rsid w:val="0092328F"/>
    <w:rsid w:val="00932CC9"/>
    <w:rsid w:val="00933921"/>
    <w:rsid w:val="0093628B"/>
    <w:rsid w:val="00937A66"/>
    <w:rsid w:val="00940699"/>
    <w:rsid w:val="00945935"/>
    <w:rsid w:val="00953119"/>
    <w:rsid w:val="009532C0"/>
    <w:rsid w:val="00954CBF"/>
    <w:rsid w:val="00955A98"/>
    <w:rsid w:val="0096133C"/>
    <w:rsid w:val="0096683F"/>
    <w:rsid w:val="00966A48"/>
    <w:rsid w:val="009767BB"/>
    <w:rsid w:val="00977DF6"/>
    <w:rsid w:val="009809BA"/>
    <w:rsid w:val="00981DAC"/>
    <w:rsid w:val="00982977"/>
    <w:rsid w:val="00983FBE"/>
    <w:rsid w:val="009919D5"/>
    <w:rsid w:val="00992D79"/>
    <w:rsid w:val="0099343E"/>
    <w:rsid w:val="00994138"/>
    <w:rsid w:val="00996260"/>
    <w:rsid w:val="009A004E"/>
    <w:rsid w:val="009A1D93"/>
    <w:rsid w:val="009A3E35"/>
    <w:rsid w:val="009A68DE"/>
    <w:rsid w:val="009B460D"/>
    <w:rsid w:val="009C0813"/>
    <w:rsid w:val="009C0A4B"/>
    <w:rsid w:val="009C3824"/>
    <w:rsid w:val="009C4316"/>
    <w:rsid w:val="009C6D74"/>
    <w:rsid w:val="009D0AC0"/>
    <w:rsid w:val="009D26AF"/>
    <w:rsid w:val="009D683C"/>
    <w:rsid w:val="009E2052"/>
    <w:rsid w:val="009E7492"/>
    <w:rsid w:val="00A06B63"/>
    <w:rsid w:val="00A11272"/>
    <w:rsid w:val="00A139AA"/>
    <w:rsid w:val="00A14A93"/>
    <w:rsid w:val="00A1717B"/>
    <w:rsid w:val="00A20F0B"/>
    <w:rsid w:val="00A23ACC"/>
    <w:rsid w:val="00A2669F"/>
    <w:rsid w:val="00A26816"/>
    <w:rsid w:val="00A34231"/>
    <w:rsid w:val="00A37A2E"/>
    <w:rsid w:val="00A37D97"/>
    <w:rsid w:val="00A41A15"/>
    <w:rsid w:val="00A4297B"/>
    <w:rsid w:val="00A450A3"/>
    <w:rsid w:val="00A45102"/>
    <w:rsid w:val="00A51DBB"/>
    <w:rsid w:val="00A54507"/>
    <w:rsid w:val="00A54C11"/>
    <w:rsid w:val="00A56FE0"/>
    <w:rsid w:val="00A71CB2"/>
    <w:rsid w:val="00A75811"/>
    <w:rsid w:val="00A75978"/>
    <w:rsid w:val="00A775AA"/>
    <w:rsid w:val="00A8116B"/>
    <w:rsid w:val="00A84A01"/>
    <w:rsid w:val="00A9225A"/>
    <w:rsid w:val="00AA2A3D"/>
    <w:rsid w:val="00AA6606"/>
    <w:rsid w:val="00AB04EA"/>
    <w:rsid w:val="00AB0FBC"/>
    <w:rsid w:val="00AB4F08"/>
    <w:rsid w:val="00AB7C61"/>
    <w:rsid w:val="00AC0AC2"/>
    <w:rsid w:val="00AC0F8D"/>
    <w:rsid w:val="00AC18BA"/>
    <w:rsid w:val="00AC25E2"/>
    <w:rsid w:val="00AC4898"/>
    <w:rsid w:val="00AC7DD1"/>
    <w:rsid w:val="00AD357A"/>
    <w:rsid w:val="00AD59D1"/>
    <w:rsid w:val="00AF0764"/>
    <w:rsid w:val="00AF1620"/>
    <w:rsid w:val="00AF1D08"/>
    <w:rsid w:val="00AF23FC"/>
    <w:rsid w:val="00AF79A9"/>
    <w:rsid w:val="00B07798"/>
    <w:rsid w:val="00B10F8E"/>
    <w:rsid w:val="00B121D7"/>
    <w:rsid w:val="00B15845"/>
    <w:rsid w:val="00B16D40"/>
    <w:rsid w:val="00B20F38"/>
    <w:rsid w:val="00B2118A"/>
    <w:rsid w:val="00B244F2"/>
    <w:rsid w:val="00B25585"/>
    <w:rsid w:val="00B26374"/>
    <w:rsid w:val="00B2792D"/>
    <w:rsid w:val="00B30C88"/>
    <w:rsid w:val="00B34A39"/>
    <w:rsid w:val="00B35308"/>
    <w:rsid w:val="00B36270"/>
    <w:rsid w:val="00B41CEB"/>
    <w:rsid w:val="00B44657"/>
    <w:rsid w:val="00B51437"/>
    <w:rsid w:val="00B559FB"/>
    <w:rsid w:val="00B61448"/>
    <w:rsid w:val="00B666A8"/>
    <w:rsid w:val="00B70AE2"/>
    <w:rsid w:val="00B71A79"/>
    <w:rsid w:val="00B71A7B"/>
    <w:rsid w:val="00B7499D"/>
    <w:rsid w:val="00B76FEA"/>
    <w:rsid w:val="00B932D7"/>
    <w:rsid w:val="00B9775C"/>
    <w:rsid w:val="00BA0848"/>
    <w:rsid w:val="00BA2456"/>
    <w:rsid w:val="00BA27FB"/>
    <w:rsid w:val="00BB28F0"/>
    <w:rsid w:val="00BC7F45"/>
    <w:rsid w:val="00BD3C5C"/>
    <w:rsid w:val="00BD46D3"/>
    <w:rsid w:val="00BD55BD"/>
    <w:rsid w:val="00BE1D20"/>
    <w:rsid w:val="00BE405F"/>
    <w:rsid w:val="00BF097D"/>
    <w:rsid w:val="00BF150B"/>
    <w:rsid w:val="00BF3E5C"/>
    <w:rsid w:val="00C1216D"/>
    <w:rsid w:val="00C129B4"/>
    <w:rsid w:val="00C13705"/>
    <w:rsid w:val="00C26F02"/>
    <w:rsid w:val="00C34DD2"/>
    <w:rsid w:val="00C34F22"/>
    <w:rsid w:val="00C365D7"/>
    <w:rsid w:val="00C43D6D"/>
    <w:rsid w:val="00C47721"/>
    <w:rsid w:val="00C52C79"/>
    <w:rsid w:val="00C53812"/>
    <w:rsid w:val="00C5778C"/>
    <w:rsid w:val="00C61DC2"/>
    <w:rsid w:val="00C66DD0"/>
    <w:rsid w:val="00C73FF9"/>
    <w:rsid w:val="00C75E48"/>
    <w:rsid w:val="00C77A2F"/>
    <w:rsid w:val="00C83339"/>
    <w:rsid w:val="00C85EFA"/>
    <w:rsid w:val="00C86268"/>
    <w:rsid w:val="00C862ED"/>
    <w:rsid w:val="00C91C92"/>
    <w:rsid w:val="00C92319"/>
    <w:rsid w:val="00C95C09"/>
    <w:rsid w:val="00CA37D2"/>
    <w:rsid w:val="00CA3C7F"/>
    <w:rsid w:val="00CA63B7"/>
    <w:rsid w:val="00CC5E13"/>
    <w:rsid w:val="00CE0802"/>
    <w:rsid w:val="00CF2E7C"/>
    <w:rsid w:val="00CF5381"/>
    <w:rsid w:val="00D022C0"/>
    <w:rsid w:val="00D14415"/>
    <w:rsid w:val="00D16E0C"/>
    <w:rsid w:val="00D20DBF"/>
    <w:rsid w:val="00D22331"/>
    <w:rsid w:val="00D2276A"/>
    <w:rsid w:val="00D26476"/>
    <w:rsid w:val="00D45CC3"/>
    <w:rsid w:val="00D512BB"/>
    <w:rsid w:val="00D60F01"/>
    <w:rsid w:val="00D64993"/>
    <w:rsid w:val="00D65431"/>
    <w:rsid w:val="00D8666F"/>
    <w:rsid w:val="00D970FF"/>
    <w:rsid w:val="00DA0D5F"/>
    <w:rsid w:val="00DA17F8"/>
    <w:rsid w:val="00DB24DA"/>
    <w:rsid w:val="00DB30AF"/>
    <w:rsid w:val="00DB4458"/>
    <w:rsid w:val="00DC5D22"/>
    <w:rsid w:val="00DD24CC"/>
    <w:rsid w:val="00DE1C62"/>
    <w:rsid w:val="00DE27E8"/>
    <w:rsid w:val="00DE4599"/>
    <w:rsid w:val="00DF7D90"/>
    <w:rsid w:val="00E00E7D"/>
    <w:rsid w:val="00E05C4B"/>
    <w:rsid w:val="00E05DDB"/>
    <w:rsid w:val="00E06AA9"/>
    <w:rsid w:val="00E16849"/>
    <w:rsid w:val="00E20572"/>
    <w:rsid w:val="00E27EDA"/>
    <w:rsid w:val="00E402B0"/>
    <w:rsid w:val="00E41850"/>
    <w:rsid w:val="00E535C4"/>
    <w:rsid w:val="00E6377B"/>
    <w:rsid w:val="00E638C4"/>
    <w:rsid w:val="00E63FB3"/>
    <w:rsid w:val="00E76FE1"/>
    <w:rsid w:val="00E77360"/>
    <w:rsid w:val="00E829F4"/>
    <w:rsid w:val="00E902AF"/>
    <w:rsid w:val="00E967A5"/>
    <w:rsid w:val="00E96C3E"/>
    <w:rsid w:val="00EB4552"/>
    <w:rsid w:val="00EB67E8"/>
    <w:rsid w:val="00EC5A1D"/>
    <w:rsid w:val="00ED02A1"/>
    <w:rsid w:val="00ED1B91"/>
    <w:rsid w:val="00ED4B37"/>
    <w:rsid w:val="00ED4F7F"/>
    <w:rsid w:val="00EE4006"/>
    <w:rsid w:val="00EE7D04"/>
    <w:rsid w:val="00F00DE8"/>
    <w:rsid w:val="00F05EEF"/>
    <w:rsid w:val="00F07161"/>
    <w:rsid w:val="00F121BD"/>
    <w:rsid w:val="00F224EB"/>
    <w:rsid w:val="00F25234"/>
    <w:rsid w:val="00F253E3"/>
    <w:rsid w:val="00F26127"/>
    <w:rsid w:val="00F26F8B"/>
    <w:rsid w:val="00F310EA"/>
    <w:rsid w:val="00F3162C"/>
    <w:rsid w:val="00F36C2F"/>
    <w:rsid w:val="00F42724"/>
    <w:rsid w:val="00F45634"/>
    <w:rsid w:val="00F56CE9"/>
    <w:rsid w:val="00F66C94"/>
    <w:rsid w:val="00F72232"/>
    <w:rsid w:val="00F73F2A"/>
    <w:rsid w:val="00F756A1"/>
    <w:rsid w:val="00F82120"/>
    <w:rsid w:val="00F82B0E"/>
    <w:rsid w:val="00F8374D"/>
    <w:rsid w:val="00F86F14"/>
    <w:rsid w:val="00FA131C"/>
    <w:rsid w:val="00FA283B"/>
    <w:rsid w:val="00FA5AF5"/>
    <w:rsid w:val="00FA7D45"/>
    <w:rsid w:val="00FB06C2"/>
    <w:rsid w:val="00FB3C2C"/>
    <w:rsid w:val="00FB7ED0"/>
    <w:rsid w:val="00FC118D"/>
    <w:rsid w:val="00FC2F54"/>
    <w:rsid w:val="00FC39D4"/>
    <w:rsid w:val="00FC6818"/>
    <w:rsid w:val="00FD5D05"/>
    <w:rsid w:val="00FE2FC1"/>
    <w:rsid w:val="00FE3884"/>
    <w:rsid w:val="00FE4919"/>
    <w:rsid w:val="00FE570D"/>
    <w:rsid w:val="00FE5CD8"/>
    <w:rsid w:val="00FE74FC"/>
    <w:rsid w:val="00FF0395"/>
    <w:rsid w:val="00FF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F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86F14"/>
    <w:pPr>
      <w:tabs>
        <w:tab w:val="center" w:pos="4153"/>
        <w:tab w:val="right" w:pos="8306"/>
      </w:tabs>
      <w:snapToGrid w:val="0"/>
      <w:jc w:val="left"/>
    </w:pPr>
    <w:rPr>
      <w:sz w:val="18"/>
      <w:szCs w:val="18"/>
    </w:rPr>
  </w:style>
  <w:style w:type="character" w:customStyle="1" w:styleId="Char">
    <w:name w:val="页脚 Char"/>
    <w:basedOn w:val="a0"/>
    <w:link w:val="a3"/>
    <w:rsid w:val="00F86F14"/>
    <w:rPr>
      <w:rFonts w:ascii="Times New Roman" w:eastAsia="宋体" w:hAnsi="Times New Roman" w:cs="Times New Roman"/>
      <w:sz w:val="18"/>
      <w:szCs w:val="18"/>
    </w:rPr>
  </w:style>
  <w:style w:type="character" w:styleId="a4">
    <w:name w:val="page number"/>
    <w:basedOn w:val="a0"/>
    <w:rsid w:val="00F86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F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86F14"/>
    <w:pPr>
      <w:tabs>
        <w:tab w:val="center" w:pos="4153"/>
        <w:tab w:val="right" w:pos="8306"/>
      </w:tabs>
      <w:snapToGrid w:val="0"/>
      <w:jc w:val="left"/>
    </w:pPr>
    <w:rPr>
      <w:sz w:val="18"/>
      <w:szCs w:val="18"/>
    </w:rPr>
  </w:style>
  <w:style w:type="character" w:customStyle="1" w:styleId="Char">
    <w:name w:val="页脚 Char"/>
    <w:basedOn w:val="a0"/>
    <w:link w:val="a3"/>
    <w:rsid w:val="00F86F14"/>
    <w:rPr>
      <w:rFonts w:ascii="Times New Roman" w:eastAsia="宋体" w:hAnsi="Times New Roman" w:cs="Times New Roman"/>
      <w:sz w:val="18"/>
      <w:szCs w:val="18"/>
    </w:rPr>
  </w:style>
  <w:style w:type="character" w:styleId="a4">
    <w:name w:val="page number"/>
    <w:basedOn w:val="a0"/>
    <w:rsid w:val="00F8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2015-10-29T09:10:00Z</dcterms:created>
  <dcterms:modified xsi:type="dcterms:W3CDTF">2015-10-29T09:10:00Z</dcterms:modified>
</cp:coreProperties>
</file>