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22AD42">
      <w:pPr>
        <w:spacing w:line="640" w:lineRule="exact"/>
        <w:jc w:val="center"/>
        <w:rPr>
          <w:rFonts w:hint="eastAsia" w:ascii="方正小标宋简体" w:hAnsi="仿宋_GB2312" w:eastAsia="方正小标宋简体"/>
          <w:sz w:val="44"/>
          <w:szCs w:val="44"/>
        </w:rPr>
      </w:pPr>
      <w:r>
        <w:rPr>
          <w:rFonts w:hint="eastAsia" w:ascii="方正小标宋简体" w:hAnsi="仿宋_GB2312" w:eastAsia="方正小标宋简体"/>
          <w:sz w:val="44"/>
          <w:szCs w:val="44"/>
        </w:rPr>
        <w:t>北京市推动医疗器械批发企业多仓协同</w:t>
      </w:r>
    </w:p>
    <w:p w14:paraId="17E08E6E">
      <w:pPr>
        <w:spacing w:line="640" w:lineRule="exact"/>
        <w:jc w:val="center"/>
        <w:rPr>
          <w:rFonts w:hint="eastAsia" w:ascii="方正小标宋简体" w:hAnsi="仿宋_GB2312" w:eastAsia="方正小标宋简体"/>
          <w:sz w:val="44"/>
          <w:szCs w:val="44"/>
        </w:rPr>
      </w:pPr>
      <w:r>
        <w:rPr>
          <w:rFonts w:hint="eastAsia" w:ascii="方正小标宋简体" w:hAnsi="仿宋_GB2312" w:eastAsia="方正小标宋简体"/>
          <w:sz w:val="44"/>
          <w:szCs w:val="44"/>
        </w:rPr>
        <w:t>创新发展的工作方案（试行）</w:t>
      </w:r>
    </w:p>
    <w:p w14:paraId="1E761416">
      <w:pPr>
        <w:pStyle w:val="2"/>
        <w:rPr>
          <w:rFonts w:hint="default" w:eastAsia="方正小标宋简体"/>
          <w:lang w:val="en-US" w:eastAsia="zh-CN"/>
        </w:rPr>
      </w:pPr>
      <w:r>
        <w:rPr>
          <w:rFonts w:hint="eastAsia" w:ascii="方正小标宋简体" w:hAnsi="仿宋_GB2312" w:eastAsia="方正小标宋简体"/>
          <w:sz w:val="44"/>
          <w:szCs w:val="44"/>
          <w:lang w:val="en-US" w:eastAsia="zh-CN"/>
        </w:rPr>
        <w:t xml:space="preserve">        </w:t>
      </w:r>
      <w:r>
        <w:rPr>
          <w:rFonts w:hint="default" w:ascii="仿宋_GB2312" w:hAnsi="仿宋_GB2312" w:eastAsia="仿宋_GB2312" w:cstheme="minorBidi"/>
          <w:sz w:val="32"/>
          <w:szCs w:val="32"/>
          <w:lang w:val="en-US" w:eastAsia="zh-CN" w:bidi="ar"/>
        </w:rPr>
        <w:t xml:space="preserve">   （征求意见稿）</w:t>
      </w:r>
    </w:p>
    <w:p w14:paraId="37C86A82">
      <w:pPr>
        <w:pStyle w:val="2"/>
        <w:rPr>
          <w:rFonts w:hint="eastAsia"/>
        </w:rPr>
      </w:pPr>
    </w:p>
    <w:p w14:paraId="14AAEAC8">
      <w:pPr>
        <w:pStyle w:val="2"/>
        <w:rPr>
          <w:rFonts w:hint="eastAsia"/>
        </w:rPr>
      </w:pPr>
    </w:p>
    <w:p w14:paraId="394225DE">
      <w:pPr>
        <w:keepNext w:val="0"/>
        <w:keepLines w:val="0"/>
        <w:widowControl/>
        <w:suppressLineNumbers w:val="0"/>
        <w:spacing w:line="560" w:lineRule="exact"/>
        <w:jc w:val="left"/>
        <w:rPr>
          <w:rFonts w:ascii="仿宋_GB2312" w:hAnsi="仿宋_GB2312" w:eastAsia="仿宋_GB2312"/>
          <w:sz w:val="32"/>
          <w:szCs w:val="32"/>
          <w:lang w:bidi="ar"/>
        </w:rPr>
      </w:pPr>
      <w:r>
        <w:rPr>
          <w:rFonts w:ascii="仿宋_GB2312" w:hAnsi="仿宋_GB2312" w:eastAsia="仿宋_GB2312"/>
          <w:sz w:val="32"/>
          <w:szCs w:val="32"/>
        </w:rPr>
        <w:t>  </w:t>
      </w:r>
      <w:r>
        <w:rPr>
          <w:rFonts w:ascii="仿宋_GB2312" w:hAnsi="仿宋_GB2312" w:eastAsia="仿宋_GB2312" w:cstheme="minorBidi"/>
          <w:i w:val="0"/>
          <w:caps w:val="0"/>
          <w:spacing w:val="0"/>
          <w:kern w:val="2"/>
          <w:sz w:val="32"/>
          <w:szCs w:val="32"/>
          <w:shd w:val="clear"/>
          <w:lang w:val="en-US" w:eastAsia="zh-CN" w:bidi="ar"/>
          <w14:ligatures w14:val="standardContextual"/>
        </w:rPr>
        <w:t>为贯彻落实国务院办公厅《关于全面深化药品医疗器械监管改革促进医药产业高质量发展的意见》（国办发〔2024〕53号）及《北京市支持创新医药高质量发展若干措施（2026年）》有关部署，整合医疗器械流通领域仓储运输资源，支持本市医疗器械批发企业构建多仓协同物流管理模式，助推北京市医疗器械产业高质量发展，结合本市实际，制定本方案。</w:t>
      </w:r>
    </w:p>
    <w:p w14:paraId="2E151A1E">
      <w:pPr>
        <w:widowControl/>
        <w:spacing w:line="560" w:lineRule="exact"/>
        <w:jc w:val="left"/>
        <w:rPr>
          <w:rFonts w:hint="eastAsia" w:ascii="黑体" w:hAnsi="黑体" w:eastAsia="黑体"/>
          <w:sz w:val="32"/>
          <w:szCs w:val="32"/>
        </w:rPr>
      </w:pPr>
      <w:r>
        <w:rPr>
          <w:rFonts w:ascii="黑体" w:hAnsi="黑体" w:eastAsia="黑体"/>
          <w:sz w:val="32"/>
          <w:szCs w:val="32"/>
        </w:rPr>
        <w:t>  一、总体目标</w:t>
      </w:r>
    </w:p>
    <w:p w14:paraId="745B391A">
      <w:pPr>
        <w:keepNext w:val="0"/>
        <w:keepLines w:val="0"/>
        <w:widowControl/>
        <w:suppressLineNumbers w:val="0"/>
        <w:spacing w:line="560" w:lineRule="exact"/>
        <w:jc w:val="left"/>
        <w:rPr>
          <w:rFonts w:ascii="仿宋_GB2312" w:hAnsi="仿宋_GB2312" w:eastAsia="仿宋_GB2312"/>
          <w:sz w:val="32"/>
          <w:szCs w:val="32"/>
        </w:rPr>
      </w:pPr>
      <w:r>
        <w:rPr>
          <w:rFonts w:ascii="仿宋_GB2312" w:hAnsi="仿宋_GB2312" w:eastAsia="仿宋_GB2312"/>
          <w:sz w:val="32"/>
          <w:szCs w:val="32"/>
        </w:rPr>
        <w:t>  </w:t>
      </w:r>
      <w:r>
        <w:rPr>
          <w:rFonts w:hint="default" w:ascii="仿宋_GB2312" w:hAnsi="仿宋_GB2312" w:eastAsia="仿宋_GB2312" w:cstheme="minorBidi"/>
          <w:i w:val="0"/>
          <w:caps w:val="0"/>
          <w:spacing w:val="0"/>
          <w:sz w:val="32"/>
          <w:szCs w:val="32"/>
          <w:shd w:val="clear"/>
        </w:rPr>
        <w:t>以推动首都医疗器械流通产业高质量发展为引领，立足本市医疗器械批发企业实际，整合集团</w:t>
      </w:r>
      <w:r>
        <w:rPr>
          <w:rFonts w:hint="eastAsia" w:ascii="仿宋_GB2312" w:hAnsi="仿宋_GB2312" w:eastAsia="仿宋_GB2312" w:cstheme="minorBidi"/>
          <w:i w:val="0"/>
          <w:caps w:val="0"/>
          <w:spacing w:val="0"/>
          <w:sz w:val="32"/>
          <w:szCs w:val="32"/>
          <w:shd w:val="clear"/>
          <w:lang w:eastAsia="zh-CN"/>
        </w:rPr>
        <w:t>型企业</w:t>
      </w:r>
      <w:r>
        <w:rPr>
          <w:rFonts w:hint="default" w:ascii="仿宋_GB2312" w:hAnsi="仿宋_GB2312" w:eastAsia="仿宋_GB2312" w:cstheme="minorBidi"/>
          <w:i w:val="0"/>
          <w:caps w:val="0"/>
          <w:spacing w:val="0"/>
          <w:sz w:val="32"/>
          <w:szCs w:val="32"/>
          <w:shd w:val="clear"/>
        </w:rPr>
        <w:t>仓储、运输、人员、信息及质量管控等资源，依托信息化手段，构建资源高效配置的运营机制，全面提升多仓协同管理效能。</w:t>
      </w:r>
      <w:r>
        <w:rPr>
          <w:rFonts w:ascii="仿宋_GB2312" w:hAnsi="仿宋_GB2312" w:eastAsia="仿宋_GB2312" w:cstheme="minorBidi"/>
          <w:i w:val="0"/>
          <w:caps w:val="0"/>
          <w:spacing w:val="0"/>
          <w:kern w:val="2"/>
          <w:sz w:val="32"/>
          <w:szCs w:val="32"/>
          <w:shd w:val="clear"/>
          <w:lang w:val="en-US" w:eastAsia="zh-CN" w:bidi="ar"/>
          <w14:ligatures w14:val="standardContextual"/>
        </w:rPr>
        <w:t>着力破解物流资源分散、利用不充分、运行效率偏低等结构性难题，推动企业从粗放式分散管理向集约化、</w:t>
      </w:r>
      <w:r>
        <w:rPr>
          <w:rFonts w:hint="eastAsia" w:ascii="仿宋_GB2312" w:hAnsi="仿宋_GB2312" w:eastAsia="仿宋_GB2312" w:cstheme="minorBidi"/>
          <w:i w:val="0"/>
          <w:caps w:val="0"/>
          <w:spacing w:val="0"/>
          <w:kern w:val="2"/>
          <w:sz w:val="32"/>
          <w:szCs w:val="32"/>
          <w:shd w:val="clear"/>
          <w:lang w:val="en-US" w:eastAsia="zh-CN" w:bidi="ar"/>
          <w14:ligatures w14:val="standardContextual"/>
        </w:rPr>
        <w:t>精准</w:t>
      </w:r>
      <w:r>
        <w:rPr>
          <w:rFonts w:ascii="仿宋_GB2312" w:hAnsi="仿宋_GB2312" w:eastAsia="仿宋_GB2312" w:cstheme="minorBidi"/>
          <w:i w:val="0"/>
          <w:caps w:val="0"/>
          <w:spacing w:val="0"/>
          <w:kern w:val="2"/>
          <w:sz w:val="32"/>
          <w:szCs w:val="32"/>
          <w:shd w:val="clear"/>
          <w:lang w:val="en-US" w:eastAsia="zh-CN" w:bidi="ar"/>
          <w14:ligatures w14:val="standardContextual"/>
        </w:rPr>
        <w:t>化协同管理转变。强化质量安全全程管控与风险防控能力，确保医疗器械质量安全可控、全程可溯。带动本市医疗器械流通产业结构持续优化，构建布局更加科学、运行更加高效、质量更加可靠、服务更加便捷的现代医疗器械供应链生态，为首都医药健康产业高质量发展提供有力支撑。</w:t>
      </w:r>
    </w:p>
    <w:p w14:paraId="01DB8DF9">
      <w:pPr>
        <w:spacing w:line="560" w:lineRule="exact"/>
        <w:rPr>
          <w:rFonts w:hint="eastAsia" w:ascii="黑体" w:hAnsi="黑体" w:eastAsia="黑体"/>
          <w:sz w:val="32"/>
          <w:szCs w:val="32"/>
        </w:rPr>
      </w:pPr>
      <w:r>
        <w:rPr>
          <w:rFonts w:ascii="黑体" w:hAnsi="黑体" w:eastAsia="黑体"/>
          <w:sz w:val="32"/>
          <w:szCs w:val="32"/>
        </w:rPr>
        <w:t>  二、主要内容</w:t>
      </w:r>
    </w:p>
    <w:p w14:paraId="1B2DBBF6">
      <w:pPr>
        <w:spacing w:line="560" w:lineRule="exact"/>
        <w:rPr>
          <w:rFonts w:hint="eastAsia" w:ascii="仿宋_GB2312" w:hAnsi="仿宋_GB2312" w:eastAsia="仿宋_GB2312"/>
          <w:sz w:val="32"/>
          <w:szCs w:val="32"/>
        </w:rPr>
      </w:pPr>
      <w:r>
        <w:rPr>
          <w:rFonts w:ascii="仿宋_GB2312" w:hAnsi="仿宋_GB2312" w:eastAsia="仿宋_GB2312"/>
          <w:sz w:val="32"/>
          <w:szCs w:val="32"/>
        </w:rPr>
        <w:t> </w:t>
      </w:r>
      <w:r>
        <w:rPr>
          <w:rFonts w:hint="eastAsia" w:ascii="楷体_GB2312" w:hAnsi="仿宋_GB2312" w:eastAsia="楷体_GB2312" w:cs="仿宋_GB2312"/>
          <w:bCs/>
          <w:color w:val="auto"/>
          <w:sz w:val="32"/>
          <w:szCs w:val="32"/>
          <w:shd w:val="clear" w:color="auto" w:fill="auto"/>
          <w:lang w:bidi="ar"/>
          <w14:ligatures w14:val="none"/>
        </w:rPr>
        <w:t> </w:t>
      </w:r>
      <w:r>
        <w:rPr>
          <w:rFonts w:hint="eastAsia" w:ascii="楷体_GB2312" w:hAnsi="仿宋_GB2312" w:eastAsia="楷体_GB2312" w:cs="仿宋_GB2312"/>
          <w:bCs/>
          <w:color w:val="auto"/>
          <w:sz w:val="32"/>
          <w:szCs w:val="32"/>
          <w:shd w:val="clear" w:color="auto" w:fill="auto"/>
          <w:lang w:eastAsia="zh-CN" w:bidi="ar"/>
          <w14:ligatures w14:val="none"/>
        </w:rPr>
        <w:t>（</w:t>
      </w:r>
      <w:r>
        <w:rPr>
          <w:rFonts w:hint="eastAsia" w:ascii="楷体_GB2312" w:hAnsi="仿宋_GB2312" w:eastAsia="楷体_GB2312" w:cs="仿宋_GB2312"/>
          <w:bCs/>
          <w:color w:val="auto"/>
          <w:sz w:val="32"/>
          <w:szCs w:val="32"/>
          <w:shd w:val="clear" w:color="auto" w:fill="auto"/>
          <w:lang w:bidi="ar"/>
          <w14:ligatures w14:val="none"/>
        </w:rPr>
        <w:t>一</w:t>
      </w:r>
      <w:r>
        <w:rPr>
          <w:rFonts w:hint="eastAsia" w:ascii="楷体_GB2312" w:hAnsi="仿宋_GB2312" w:eastAsia="楷体_GB2312" w:cs="仿宋_GB2312"/>
          <w:bCs/>
          <w:color w:val="auto"/>
          <w:sz w:val="32"/>
          <w:szCs w:val="32"/>
          <w:shd w:val="clear" w:color="auto" w:fill="auto"/>
          <w:lang w:eastAsia="zh-CN" w:bidi="ar"/>
          <w14:ligatures w14:val="none"/>
        </w:rPr>
        <w:t>）</w:t>
      </w:r>
      <w:r>
        <w:rPr>
          <w:rFonts w:hint="eastAsia" w:ascii="楷体_GB2312" w:hAnsi="仿宋_GB2312" w:eastAsia="楷体_GB2312" w:cs="仿宋_GB2312"/>
          <w:bCs/>
          <w:color w:val="auto"/>
          <w:sz w:val="32"/>
          <w:szCs w:val="32"/>
          <w:shd w:val="clear" w:color="auto" w:fill="auto"/>
          <w:lang w:bidi="ar"/>
          <w14:ligatures w14:val="none"/>
        </w:rPr>
        <w:t>适用范围</w:t>
      </w:r>
    </w:p>
    <w:p w14:paraId="232F6ED0">
      <w:pPr>
        <w:keepNext w:val="0"/>
        <w:keepLines w:val="0"/>
        <w:widowControl/>
        <w:suppressLineNumbers w:val="0"/>
        <w:jc w:val="left"/>
        <w:rPr>
          <w:rFonts w:ascii="仿宋_GB2312" w:hAnsi="仿宋_GB2312" w:eastAsia="仿宋_GB2312" w:cstheme="minorBidi"/>
          <w:b w:val="0"/>
          <w:i w:val="0"/>
          <w:caps w:val="0"/>
          <w:spacing w:val="0"/>
          <w:kern w:val="2"/>
          <w:sz w:val="32"/>
          <w:szCs w:val="32"/>
          <w:shd w:val="clear"/>
          <w:lang w:val="en-US" w:eastAsia="zh-CN" w:bidi="ar"/>
          <w14:ligatures w14:val="standardContextual"/>
        </w:rPr>
      </w:pPr>
      <w:r>
        <w:rPr>
          <w:rFonts w:ascii="仿宋_GB2312" w:hAnsi="仿宋_GB2312" w:eastAsia="仿宋_GB2312"/>
          <w:sz w:val="32"/>
          <w:szCs w:val="32"/>
        </w:rPr>
        <w:t> </w:t>
      </w:r>
      <w:r>
        <w:rPr>
          <w:rFonts w:ascii="仿宋_GB2312" w:hAnsi="仿宋_GB2312" w:eastAsia="仿宋_GB2312" w:cstheme="minorBidi"/>
          <w:b w:val="0"/>
          <w:i w:val="0"/>
          <w:caps w:val="0"/>
          <w:spacing w:val="0"/>
          <w:kern w:val="2"/>
          <w:sz w:val="32"/>
          <w:szCs w:val="32"/>
          <w:shd w:val="clear"/>
          <w:lang w:val="en-US" w:eastAsia="zh-CN" w:bidi="ar"/>
          <w14:ligatures w14:val="standardContextual"/>
        </w:rPr>
        <w:t> 医疗器械批发企业</w:t>
      </w:r>
      <w:r>
        <w:rPr>
          <w:rFonts w:ascii="仿宋_GB2312" w:hAnsi="仿宋_GB2312" w:eastAsia="仿宋_GB2312" w:cstheme="minorBidi"/>
          <w:b w:val="0"/>
          <w:i w:val="0"/>
          <w:caps w:val="0"/>
          <w:spacing w:val="0"/>
          <w:kern w:val="2"/>
          <w:sz w:val="32"/>
          <w:szCs w:val="32"/>
          <w:highlight w:val="none"/>
          <w:shd w:val="clear"/>
          <w:lang w:val="en-US" w:eastAsia="zh-CN" w:bidi="ar"/>
          <w14:ligatures w14:val="standardContextual"/>
        </w:rPr>
        <w:t>（含为医疗器械注册人、备案人及经营企业提供运输、贮存服务的企业，下同）</w:t>
      </w:r>
      <w:r>
        <w:rPr>
          <w:rFonts w:ascii="仿宋_GB2312" w:hAnsi="仿宋_GB2312" w:eastAsia="仿宋_GB2312" w:cstheme="minorBidi"/>
          <w:b w:val="0"/>
          <w:i w:val="0"/>
          <w:caps w:val="0"/>
          <w:spacing w:val="0"/>
          <w:kern w:val="2"/>
          <w:sz w:val="32"/>
          <w:szCs w:val="32"/>
          <w:shd w:val="clear"/>
          <w:lang w:val="en-US" w:eastAsia="zh-CN" w:bidi="ar"/>
          <w14:ligatures w14:val="standardContextual"/>
        </w:rPr>
        <w:t>多仓协同，是指在集团型企业内，由符合条件的主体方与协同方依托信息化手段，共享仓储、运输、人员及信息系统等资源，以集约化方式协同完成医疗器械的储存与配送。原则上，主体方应具备为医疗器械注册人、备案人和经营企业专门提供运输、贮存服务的企业资质，协同方为同一集团内具备相应储运能力的其他医疗器械批发企业。</w:t>
      </w:r>
    </w:p>
    <w:p w14:paraId="5C34A8E7">
      <w:pPr>
        <w:spacing w:line="560" w:lineRule="exact"/>
        <w:rPr>
          <w:rFonts w:hint="eastAsia" w:ascii="仿宋_GB2312" w:hAnsi="仿宋_GB2312" w:eastAsia="仿宋_GB2312"/>
          <w:sz w:val="32"/>
          <w:szCs w:val="32"/>
        </w:rPr>
      </w:pPr>
      <w:r>
        <w:rPr>
          <w:rFonts w:ascii="仿宋_GB2312" w:hAnsi="仿宋_GB2312" w:eastAsia="仿宋_GB2312"/>
          <w:sz w:val="32"/>
          <w:szCs w:val="32"/>
        </w:rPr>
        <w:t> </w:t>
      </w:r>
      <w:r>
        <w:rPr>
          <w:rFonts w:hint="eastAsia" w:ascii="仿宋_GB2312" w:hAnsi="仿宋_GB2312" w:eastAsia="仿宋_GB2312"/>
          <w:sz w:val="32"/>
          <w:szCs w:val="32"/>
        </w:rPr>
        <w:t> </w:t>
      </w:r>
      <w:r>
        <w:rPr>
          <w:rFonts w:hint="eastAsia" w:ascii="仿宋_GB2312" w:hAnsi="仿宋_GB2312" w:eastAsia="仿宋_GB2312"/>
          <w:sz w:val="32"/>
          <w:szCs w:val="32"/>
          <w:lang w:eastAsia="zh-CN"/>
        </w:rPr>
        <w:t>（</w:t>
      </w:r>
      <w:r>
        <w:rPr>
          <w:rFonts w:hint="eastAsia" w:ascii="楷体_GB2312" w:hAnsi="仿宋_GB2312" w:eastAsia="楷体_GB2312" w:cs="仿宋_GB2312"/>
          <w:bCs/>
          <w:color w:val="auto"/>
          <w:sz w:val="32"/>
          <w:szCs w:val="32"/>
          <w:shd w:val="clear" w:color="auto" w:fill="auto"/>
          <w:lang w:bidi="ar"/>
          <w14:ligatures w14:val="none"/>
        </w:rPr>
        <w:t>二</w:t>
      </w:r>
      <w:r>
        <w:rPr>
          <w:rFonts w:hint="eastAsia" w:ascii="楷体_GB2312" w:hAnsi="仿宋_GB2312" w:eastAsia="楷体_GB2312" w:cs="仿宋_GB2312"/>
          <w:bCs/>
          <w:color w:val="auto"/>
          <w:sz w:val="32"/>
          <w:szCs w:val="32"/>
          <w:shd w:val="clear" w:color="auto" w:fill="auto"/>
          <w:lang w:eastAsia="zh-CN" w:bidi="ar"/>
          <w14:ligatures w14:val="none"/>
        </w:rPr>
        <w:t>）</w:t>
      </w:r>
      <w:r>
        <w:rPr>
          <w:rFonts w:hint="eastAsia" w:ascii="楷体_GB2312" w:hAnsi="仿宋_GB2312" w:eastAsia="楷体_GB2312" w:cs="仿宋_GB2312"/>
          <w:bCs/>
          <w:color w:val="auto"/>
          <w:sz w:val="32"/>
          <w:szCs w:val="32"/>
          <w:shd w:val="clear" w:color="auto" w:fill="auto"/>
          <w:lang w:bidi="ar"/>
          <w14:ligatures w14:val="none"/>
        </w:rPr>
        <w:t>协同品种</w:t>
      </w:r>
    </w:p>
    <w:p w14:paraId="64663A0C">
      <w:pPr>
        <w:widowControl/>
        <w:spacing w:line="560" w:lineRule="exact"/>
        <w:jc w:val="left"/>
        <w:rPr>
          <w:rFonts w:hint="default" w:ascii="仿宋_GB2312" w:hAnsi="仿宋_GB2312" w:eastAsia="仿宋_GB2312"/>
          <w:sz w:val="32"/>
          <w:szCs w:val="32"/>
          <w:lang w:bidi="ar"/>
        </w:rPr>
      </w:pPr>
      <w:r>
        <w:rPr>
          <w:rFonts w:ascii="仿宋_GB2312" w:hAnsi="仿宋_GB2312" w:eastAsia="仿宋_GB2312"/>
          <w:sz w:val="32"/>
          <w:szCs w:val="32"/>
        </w:rPr>
        <w:t>  </w:t>
      </w:r>
      <w:r>
        <w:rPr>
          <w:rFonts w:ascii="仿宋_GB2312" w:hAnsi="仿宋_GB2312" w:eastAsia="仿宋_GB2312"/>
          <w:sz w:val="32"/>
          <w:szCs w:val="32"/>
          <w:lang w:bidi="ar"/>
        </w:rPr>
        <w:t>开展多仓协同</w:t>
      </w:r>
      <w:r>
        <w:rPr>
          <w:rFonts w:hint="default" w:ascii="仿宋_GB2312" w:hAnsi="仿宋_GB2312" w:eastAsia="仿宋_GB2312"/>
          <w:sz w:val="32"/>
          <w:szCs w:val="32"/>
          <w:lang w:bidi="ar"/>
        </w:rPr>
        <w:t>储</w:t>
      </w:r>
      <w:r>
        <w:rPr>
          <w:rFonts w:ascii="仿宋_GB2312" w:hAnsi="仿宋_GB2312" w:eastAsia="仿宋_GB2312"/>
          <w:sz w:val="32"/>
          <w:szCs w:val="32"/>
          <w:lang w:bidi="ar"/>
        </w:rPr>
        <w:t>存、配送的</w:t>
      </w:r>
      <w:r>
        <w:rPr>
          <w:rFonts w:hint="default" w:ascii="仿宋_GB2312" w:hAnsi="仿宋_GB2312" w:eastAsia="仿宋_GB2312"/>
          <w:sz w:val="32"/>
          <w:szCs w:val="32"/>
          <w:lang w:bidi="ar"/>
        </w:rPr>
        <w:t>医疗器械品种</w:t>
      </w:r>
      <w:r>
        <w:rPr>
          <w:rFonts w:ascii="仿宋_GB2312" w:hAnsi="仿宋_GB2312" w:eastAsia="仿宋_GB2312"/>
          <w:sz w:val="32"/>
          <w:szCs w:val="32"/>
          <w:lang w:bidi="ar"/>
        </w:rPr>
        <w:t>，应在主体方与协同方的</w:t>
      </w:r>
      <w:r>
        <w:rPr>
          <w:rFonts w:hint="default" w:ascii="仿宋_GB2312" w:hAnsi="仿宋_GB2312" w:eastAsia="仿宋_GB2312"/>
          <w:sz w:val="32"/>
          <w:szCs w:val="32"/>
          <w:lang w:bidi="ar"/>
        </w:rPr>
        <w:t>《医疗器械经营许可证》或《第二类医疗器械经营备案凭证》</w:t>
      </w:r>
      <w:r>
        <w:rPr>
          <w:rFonts w:ascii="仿宋_GB2312" w:hAnsi="仿宋_GB2312" w:eastAsia="仿宋_GB2312"/>
          <w:sz w:val="32"/>
          <w:szCs w:val="32"/>
          <w:lang w:bidi="ar"/>
        </w:rPr>
        <w:t>经营范围</w:t>
      </w:r>
      <w:r>
        <w:rPr>
          <w:rFonts w:hint="eastAsia" w:ascii="仿宋_GB2312" w:hAnsi="仿宋_GB2312" w:eastAsia="仿宋_GB2312"/>
          <w:sz w:val="32"/>
          <w:szCs w:val="32"/>
          <w:lang w:eastAsia="zh-CN" w:bidi="ar"/>
        </w:rPr>
        <w:t>或</w:t>
      </w:r>
      <w:r>
        <w:rPr>
          <w:rFonts w:ascii="仿宋_GB2312" w:hAnsi="仿宋_GB2312" w:eastAsia="仿宋_GB2312" w:cstheme="minorBidi"/>
          <w:b w:val="0"/>
          <w:i w:val="0"/>
          <w:caps w:val="0"/>
          <w:spacing w:val="0"/>
          <w:kern w:val="2"/>
          <w:sz w:val="32"/>
          <w:szCs w:val="32"/>
          <w:shd w:val="clear"/>
          <w:lang w:val="en-US" w:eastAsia="zh-CN" w:bidi="ar"/>
          <w14:ligatures w14:val="standardContextual"/>
        </w:rPr>
        <w:t>提供医疗器械贮存、配送服务范围</w:t>
      </w:r>
      <w:r>
        <w:rPr>
          <w:rFonts w:ascii="仿宋_GB2312" w:hAnsi="仿宋_GB2312" w:eastAsia="仿宋_GB2312"/>
          <w:sz w:val="32"/>
          <w:szCs w:val="32"/>
          <w:lang w:bidi="ar"/>
        </w:rPr>
        <w:t>内。</w:t>
      </w:r>
    </w:p>
    <w:p w14:paraId="17D2E8E0">
      <w:pPr>
        <w:spacing w:line="560" w:lineRule="exact"/>
        <w:rPr>
          <w:rFonts w:hint="eastAsia" w:ascii="仿宋_GB2312" w:hAnsi="仿宋_GB2312" w:eastAsia="仿宋_GB2312"/>
          <w:sz w:val="32"/>
          <w:szCs w:val="32"/>
        </w:rPr>
      </w:pPr>
      <w:r>
        <w:rPr>
          <w:rFonts w:ascii="仿宋_GB2312" w:hAnsi="仿宋_GB2312" w:eastAsia="仿宋_GB2312"/>
          <w:sz w:val="32"/>
          <w:szCs w:val="32"/>
        </w:rPr>
        <w:t> </w:t>
      </w:r>
      <w:r>
        <w:rPr>
          <w:rFonts w:hint="eastAsia" w:ascii="楷体_GB2312" w:hAnsi="仿宋_GB2312" w:eastAsia="楷体_GB2312" w:cs="仿宋_GB2312"/>
          <w:bCs/>
          <w:color w:val="auto"/>
          <w:sz w:val="32"/>
          <w:szCs w:val="32"/>
          <w:shd w:val="clear" w:color="auto" w:fill="auto"/>
          <w:lang w:bidi="ar"/>
          <w14:ligatures w14:val="none"/>
        </w:rPr>
        <w:t> </w:t>
      </w:r>
      <w:r>
        <w:rPr>
          <w:rFonts w:hint="eastAsia" w:ascii="楷体_GB2312" w:hAnsi="仿宋_GB2312" w:eastAsia="楷体_GB2312" w:cs="仿宋_GB2312"/>
          <w:bCs/>
          <w:color w:val="auto"/>
          <w:sz w:val="32"/>
          <w:szCs w:val="32"/>
          <w:shd w:val="clear" w:color="auto" w:fill="auto"/>
          <w:lang w:eastAsia="zh-CN" w:bidi="ar"/>
          <w14:ligatures w14:val="none"/>
        </w:rPr>
        <w:t>（</w:t>
      </w:r>
      <w:r>
        <w:rPr>
          <w:rFonts w:hint="eastAsia" w:ascii="楷体_GB2312" w:hAnsi="仿宋_GB2312" w:eastAsia="楷体_GB2312" w:cs="仿宋_GB2312"/>
          <w:bCs/>
          <w:color w:val="auto"/>
          <w:sz w:val="32"/>
          <w:szCs w:val="32"/>
          <w:shd w:val="clear" w:color="auto" w:fill="auto"/>
          <w:lang w:bidi="ar"/>
          <w14:ligatures w14:val="none"/>
        </w:rPr>
        <w:t>三</w:t>
      </w:r>
      <w:r>
        <w:rPr>
          <w:rFonts w:hint="eastAsia" w:ascii="楷体_GB2312" w:hAnsi="仿宋_GB2312" w:eastAsia="楷体_GB2312" w:cs="仿宋_GB2312"/>
          <w:bCs/>
          <w:color w:val="auto"/>
          <w:sz w:val="32"/>
          <w:szCs w:val="32"/>
          <w:shd w:val="clear" w:color="auto" w:fill="auto"/>
          <w:lang w:eastAsia="zh-CN" w:bidi="ar"/>
          <w14:ligatures w14:val="none"/>
        </w:rPr>
        <w:t>）</w:t>
      </w:r>
      <w:r>
        <w:rPr>
          <w:rFonts w:hint="eastAsia" w:ascii="楷体_GB2312" w:hAnsi="仿宋_GB2312" w:eastAsia="楷体_GB2312" w:cs="仿宋_GB2312"/>
          <w:bCs/>
          <w:color w:val="auto"/>
          <w:sz w:val="32"/>
          <w:szCs w:val="32"/>
          <w:shd w:val="clear" w:color="auto" w:fill="auto"/>
          <w:lang w:bidi="ar"/>
          <w14:ligatures w14:val="none"/>
        </w:rPr>
        <w:t xml:space="preserve">设置条件  </w:t>
      </w:r>
      <w:r>
        <w:rPr>
          <w:rFonts w:hint="eastAsia" w:ascii="仿宋_GB2312" w:hAnsi="仿宋_GB2312" w:eastAsia="仿宋_GB2312"/>
          <w:sz w:val="32"/>
          <w:szCs w:val="32"/>
        </w:rPr>
        <w:t xml:space="preserve">  </w:t>
      </w:r>
    </w:p>
    <w:p w14:paraId="16397A24">
      <w:pPr>
        <w:spacing w:line="560" w:lineRule="exact"/>
        <w:rPr>
          <w:rFonts w:hint="eastAsia" w:ascii="仿宋_GB2312" w:hAnsi="仿宋_GB2312" w:eastAsia="仿宋_GB2312"/>
          <w:sz w:val="32"/>
          <w:szCs w:val="32"/>
        </w:rPr>
      </w:pPr>
      <w:r>
        <w:rPr>
          <w:rFonts w:ascii="仿宋_GB2312" w:hAnsi="仿宋_GB2312" w:eastAsia="仿宋_GB2312"/>
          <w:sz w:val="32"/>
          <w:szCs w:val="32"/>
        </w:rPr>
        <w:t>  1.医疗器械多仓协同业务由主体方和协同方组成。</w:t>
      </w:r>
    </w:p>
    <w:p w14:paraId="2EB8AA80">
      <w:pPr>
        <w:spacing w:line="560" w:lineRule="exact"/>
        <w:rPr>
          <w:rFonts w:hint="eastAsia" w:ascii="仿宋_GB2312" w:hAnsi="仿宋_GB2312" w:eastAsia="仿宋_GB2312"/>
          <w:sz w:val="32"/>
          <w:szCs w:val="32"/>
        </w:rPr>
      </w:pPr>
      <w:r>
        <w:rPr>
          <w:rFonts w:ascii="仿宋_GB2312" w:hAnsi="仿宋_GB2312" w:eastAsia="仿宋_GB2312"/>
          <w:sz w:val="32"/>
          <w:szCs w:val="32"/>
        </w:rPr>
        <w:t>  2.主体方与协同方均</w:t>
      </w:r>
      <w:r>
        <w:rPr>
          <w:rFonts w:hint="eastAsia" w:ascii="仿宋_GB2312" w:hAnsi="仿宋_GB2312" w:eastAsia="仿宋_GB2312"/>
          <w:sz w:val="32"/>
          <w:szCs w:val="32"/>
          <w:lang w:eastAsia="zh-CN"/>
        </w:rPr>
        <w:t>需</w:t>
      </w:r>
      <w:r>
        <w:rPr>
          <w:rFonts w:ascii="仿宋_GB2312" w:hAnsi="仿宋_GB2312" w:eastAsia="仿宋_GB2312"/>
          <w:sz w:val="32"/>
          <w:szCs w:val="32"/>
        </w:rPr>
        <w:t>取得《</w:t>
      </w:r>
      <w:r>
        <w:rPr>
          <w:rFonts w:hint="eastAsia" w:ascii="仿宋_GB2312" w:hAnsi="仿宋_GB2312" w:eastAsia="仿宋_GB2312"/>
          <w:sz w:val="32"/>
          <w:szCs w:val="32"/>
        </w:rPr>
        <w:t>医疗器械</w:t>
      </w:r>
      <w:r>
        <w:rPr>
          <w:rFonts w:ascii="仿宋_GB2312" w:hAnsi="仿宋_GB2312" w:eastAsia="仿宋_GB2312"/>
          <w:sz w:val="32"/>
          <w:szCs w:val="32"/>
        </w:rPr>
        <w:t>经营许可证》。</w:t>
      </w:r>
    </w:p>
    <w:p w14:paraId="77C60443">
      <w:pPr>
        <w:spacing w:line="560" w:lineRule="exact"/>
        <w:rPr>
          <w:rFonts w:hint="eastAsia" w:ascii="仿宋_GB2312" w:hAnsi="仿宋_GB2312" w:eastAsia="仿宋_GB2312"/>
          <w:sz w:val="32"/>
          <w:szCs w:val="32"/>
        </w:rPr>
      </w:pPr>
      <w:r>
        <w:rPr>
          <w:rFonts w:ascii="仿宋_GB2312" w:hAnsi="仿宋_GB2312" w:eastAsia="仿宋_GB2312"/>
          <w:sz w:val="32"/>
          <w:szCs w:val="32"/>
        </w:rPr>
        <w:t>  3.主体方承担多仓协同管理主体责任，协同方</w:t>
      </w:r>
      <w:r>
        <w:rPr>
          <w:rFonts w:hint="eastAsia" w:ascii="仿宋_GB2312" w:hAnsi="仿宋_GB2312" w:eastAsia="仿宋_GB2312"/>
          <w:sz w:val="32"/>
          <w:szCs w:val="32"/>
        </w:rPr>
        <w:t>负责</w:t>
      </w:r>
      <w:r>
        <w:rPr>
          <w:rFonts w:ascii="仿宋_GB2312" w:hAnsi="仿宋_GB2312" w:eastAsia="仿宋_GB2312"/>
          <w:sz w:val="32"/>
          <w:szCs w:val="32"/>
        </w:rPr>
        <w:t>执行多仓协同过程中的协同任务</w:t>
      </w:r>
      <w:r>
        <w:rPr>
          <w:rFonts w:hint="eastAsia" w:ascii="仿宋_GB2312" w:hAnsi="仿宋_GB2312" w:eastAsia="仿宋_GB2312"/>
          <w:sz w:val="32"/>
          <w:szCs w:val="32"/>
        </w:rPr>
        <w:t>。</w:t>
      </w:r>
    </w:p>
    <w:p w14:paraId="771C1084">
      <w:pPr>
        <w:keepNext w:val="0"/>
        <w:keepLines w:val="0"/>
        <w:widowControl/>
        <w:suppressLineNumbers w:val="0"/>
        <w:jc w:val="left"/>
      </w:pPr>
      <w:r>
        <w:rPr>
          <w:rFonts w:ascii="仿宋_GB2312" w:hAnsi="仿宋_GB2312" w:eastAsia="仿宋_GB2312"/>
          <w:sz w:val="32"/>
          <w:szCs w:val="32"/>
        </w:rPr>
        <w:t>  4.</w:t>
      </w:r>
      <w:r>
        <w:rPr>
          <w:rFonts w:hint="eastAsia" w:ascii="仿宋_GB2312" w:hAnsi="仿宋_GB2312" w:eastAsia="仿宋_GB2312"/>
          <w:sz w:val="32"/>
          <w:szCs w:val="32"/>
          <w:lang w:val="en-US" w:eastAsia="zh-CN"/>
        </w:rPr>
        <w:t>本市主体方须符合《北京市医疗器械经营监督管理办法实施细则》相关规定；协同方应为与主体方受同一集团实际控制</w:t>
      </w:r>
      <w:r>
        <w:rPr>
          <w:rFonts w:hint="default" w:ascii="仿宋_GB2312" w:hAnsi="仿宋_GB2312" w:eastAsia="仿宋_GB2312"/>
          <w:sz w:val="32"/>
          <w:szCs w:val="32"/>
          <w:lang w:val="en-US" w:eastAsia="zh-CN"/>
        </w:rPr>
        <w:t>的企业（包括全资、控股子公司及</w:t>
      </w:r>
      <w:r>
        <w:rPr>
          <w:rFonts w:hint="eastAsia" w:ascii="仿宋_GB2312" w:hAnsi="仿宋_GB2312" w:eastAsia="仿宋_GB2312"/>
          <w:sz w:val="32"/>
          <w:szCs w:val="32"/>
          <w:lang w:val="en-US" w:eastAsia="zh-CN"/>
        </w:rPr>
        <w:t>所属</w:t>
      </w:r>
      <w:r>
        <w:rPr>
          <w:rFonts w:hint="default" w:ascii="仿宋_GB2312" w:hAnsi="仿宋_GB2312" w:eastAsia="仿宋_GB2312"/>
          <w:sz w:val="32"/>
          <w:szCs w:val="32"/>
          <w:lang w:val="en-US" w:eastAsia="zh-CN"/>
        </w:rPr>
        <w:t>分公司）</w:t>
      </w:r>
      <w:r>
        <w:rPr>
          <w:rFonts w:hint="eastAsia" w:ascii="仿宋_GB2312" w:hAnsi="仿宋_GB2312" w:eastAsia="仿宋_GB2312"/>
          <w:sz w:val="32"/>
          <w:szCs w:val="32"/>
          <w:lang w:val="en-US" w:eastAsia="zh-CN"/>
        </w:rPr>
        <w:t>，其自营仓库在同一地址的库房使用面积不得低于500平方米，且仓储条件须满足协同品种的储存要求。跨省、自治区、直辖市开展多仓协同业务的，相关企业</w:t>
      </w:r>
      <w:r>
        <w:rPr>
          <w:rFonts w:hint="eastAsia" w:ascii="仿宋_GB2312" w:hAnsi="仿宋_GB2312" w:eastAsia="仿宋_GB2312"/>
          <w:sz w:val="32"/>
          <w:szCs w:val="32"/>
          <w:highlight w:val="none"/>
          <w:lang w:val="en-US" w:eastAsia="zh-CN"/>
        </w:rPr>
        <w:t>还须</w:t>
      </w:r>
      <w:r>
        <w:rPr>
          <w:rFonts w:hint="eastAsia" w:ascii="仿宋_GB2312" w:hAnsi="仿宋_GB2312" w:eastAsia="仿宋_GB2312"/>
          <w:sz w:val="32"/>
          <w:szCs w:val="32"/>
          <w:lang w:val="en-US" w:eastAsia="zh-CN"/>
        </w:rPr>
        <w:t>符合所在地药品监督管理部门的相应规定。</w:t>
      </w:r>
    </w:p>
    <w:p w14:paraId="4FC664A8">
      <w:pPr>
        <w:spacing w:line="560" w:lineRule="exact"/>
        <w:rPr>
          <w:rFonts w:hint="eastAsia" w:ascii="仿宋_GB2312" w:hAnsi="仿宋_GB2312" w:eastAsia="仿宋_GB2312"/>
          <w:sz w:val="32"/>
          <w:szCs w:val="32"/>
        </w:rPr>
      </w:pPr>
      <w:r>
        <w:rPr>
          <w:rFonts w:ascii="仿宋_GB2312" w:hAnsi="仿宋_GB2312" w:eastAsia="仿宋_GB2312"/>
          <w:sz w:val="32"/>
          <w:szCs w:val="32"/>
        </w:rPr>
        <w:t>  5.主体方</w:t>
      </w:r>
      <w:r>
        <w:rPr>
          <w:rFonts w:hint="eastAsia" w:ascii="仿宋_GB2312" w:hAnsi="仿宋_GB2312" w:eastAsia="仿宋_GB2312"/>
          <w:sz w:val="32"/>
          <w:szCs w:val="32"/>
        </w:rPr>
        <w:t>、协同</w:t>
      </w:r>
      <w:r>
        <w:rPr>
          <w:rFonts w:hint="eastAsia" w:ascii="仿宋_GB2312" w:hAnsi="仿宋_GB2312" w:eastAsia="仿宋_GB2312"/>
          <w:sz w:val="32"/>
          <w:szCs w:val="32"/>
          <w:lang w:eastAsia="zh-CN"/>
        </w:rPr>
        <w:t>方</w:t>
      </w:r>
      <w:r>
        <w:rPr>
          <w:rFonts w:hint="eastAsia" w:ascii="仿宋_GB2312" w:hAnsi="仿宋_GB2312" w:eastAsia="仿宋_GB2312"/>
          <w:sz w:val="32"/>
          <w:szCs w:val="32"/>
        </w:rPr>
        <w:t>应具有统一的医疗器械经营质量管理体系和计算机信息管理系统，可</w:t>
      </w:r>
      <w:r>
        <w:rPr>
          <w:rFonts w:ascii="仿宋_GB2312" w:hAnsi="仿宋_GB2312" w:eastAsia="仿宋_GB2312"/>
          <w:sz w:val="32"/>
          <w:szCs w:val="32"/>
        </w:rPr>
        <w:t>满足</w:t>
      </w:r>
      <w:r>
        <w:rPr>
          <w:rFonts w:hint="eastAsia" w:ascii="仿宋_GB2312" w:hAnsi="仿宋_GB2312" w:eastAsia="仿宋_GB2312"/>
          <w:sz w:val="32"/>
          <w:szCs w:val="32"/>
        </w:rPr>
        <w:t>医疗器械</w:t>
      </w:r>
      <w:r>
        <w:rPr>
          <w:rFonts w:hint="eastAsia" w:ascii="仿宋_GB2312" w:hAnsi="仿宋_GB2312" w:eastAsia="仿宋_GB2312"/>
          <w:sz w:val="32"/>
          <w:szCs w:val="32"/>
          <w:lang w:eastAsia="zh-CN"/>
        </w:rPr>
        <w:t>质量管理和产品</w:t>
      </w:r>
      <w:r>
        <w:rPr>
          <w:rFonts w:ascii="仿宋_GB2312" w:hAnsi="仿宋_GB2312" w:eastAsia="仿宋_GB2312"/>
          <w:sz w:val="32"/>
          <w:szCs w:val="32"/>
        </w:rPr>
        <w:t>追溯的要求。</w:t>
      </w:r>
    </w:p>
    <w:p w14:paraId="5EC5BB22">
      <w:pPr>
        <w:spacing w:line="560" w:lineRule="exact"/>
        <w:rPr>
          <w:rFonts w:hint="eastAsia" w:ascii="仿宋_GB2312" w:hAnsi="仿宋_GB2312" w:eastAsia="仿宋_GB2312"/>
          <w:sz w:val="32"/>
          <w:szCs w:val="32"/>
        </w:rPr>
      </w:pPr>
      <w:r>
        <w:rPr>
          <w:rFonts w:ascii="仿宋_GB2312" w:hAnsi="仿宋_GB2312" w:eastAsia="仿宋_GB2312"/>
          <w:sz w:val="32"/>
          <w:szCs w:val="32"/>
        </w:rPr>
        <w:t> </w:t>
      </w:r>
      <w:r>
        <w:rPr>
          <w:rFonts w:hint="eastAsia" w:ascii="楷体_GB2312" w:hAnsi="仿宋_GB2312" w:eastAsia="楷体_GB2312" w:cs="仿宋_GB2312"/>
          <w:bCs/>
          <w:color w:val="auto"/>
          <w:sz w:val="32"/>
          <w:szCs w:val="32"/>
          <w:shd w:val="clear" w:color="auto" w:fill="auto"/>
          <w:lang w:bidi="ar"/>
          <w14:ligatures w14:val="none"/>
        </w:rPr>
        <w:t> </w:t>
      </w:r>
      <w:r>
        <w:rPr>
          <w:rFonts w:hint="eastAsia" w:ascii="楷体_GB2312" w:hAnsi="仿宋_GB2312" w:eastAsia="楷体_GB2312" w:cs="仿宋_GB2312"/>
          <w:bCs/>
          <w:color w:val="auto"/>
          <w:sz w:val="32"/>
          <w:szCs w:val="32"/>
          <w:shd w:val="clear" w:color="auto" w:fill="auto"/>
          <w:lang w:eastAsia="zh-CN" w:bidi="ar"/>
          <w14:ligatures w14:val="none"/>
        </w:rPr>
        <w:t>（</w:t>
      </w:r>
      <w:r>
        <w:rPr>
          <w:rFonts w:hint="eastAsia" w:ascii="楷体_GB2312" w:hAnsi="仿宋_GB2312" w:eastAsia="楷体_GB2312" w:cs="仿宋_GB2312"/>
          <w:bCs/>
          <w:color w:val="auto"/>
          <w:sz w:val="32"/>
          <w:szCs w:val="32"/>
          <w:shd w:val="clear" w:color="auto" w:fill="auto"/>
          <w:lang w:bidi="ar"/>
          <w14:ligatures w14:val="none"/>
        </w:rPr>
        <w:t>四</w:t>
      </w:r>
      <w:r>
        <w:rPr>
          <w:rFonts w:hint="eastAsia" w:ascii="楷体_GB2312" w:hAnsi="仿宋_GB2312" w:eastAsia="楷体_GB2312" w:cs="仿宋_GB2312"/>
          <w:bCs/>
          <w:color w:val="auto"/>
          <w:sz w:val="32"/>
          <w:szCs w:val="32"/>
          <w:shd w:val="clear" w:color="auto" w:fill="auto"/>
          <w:lang w:eastAsia="zh-CN" w:bidi="ar"/>
          <w14:ligatures w14:val="none"/>
        </w:rPr>
        <w:t>）</w:t>
      </w:r>
      <w:r>
        <w:rPr>
          <w:rFonts w:hint="eastAsia" w:ascii="楷体_GB2312" w:hAnsi="仿宋_GB2312" w:eastAsia="楷体_GB2312" w:cs="仿宋_GB2312"/>
          <w:bCs/>
          <w:color w:val="auto"/>
          <w:sz w:val="32"/>
          <w:szCs w:val="32"/>
          <w:shd w:val="clear" w:color="auto" w:fill="auto"/>
          <w:lang w:bidi="ar"/>
          <w14:ligatures w14:val="none"/>
        </w:rPr>
        <w:t>创新内容</w:t>
      </w:r>
    </w:p>
    <w:p w14:paraId="4BF9B798">
      <w:pPr>
        <w:widowControl/>
        <w:spacing w:line="560" w:lineRule="exact"/>
        <w:jc w:val="left"/>
        <w:rPr>
          <w:rFonts w:hint="eastAsia" w:ascii="仿宋_GB2312" w:hAnsi="仿宋_GB2312" w:eastAsia="仿宋_GB2312"/>
          <w:sz w:val="32"/>
          <w:szCs w:val="32"/>
          <w:lang w:eastAsia="zh-CN"/>
        </w:rPr>
      </w:pPr>
      <w:r>
        <w:rPr>
          <w:rFonts w:ascii="仿宋_GB2312" w:hAnsi="仿宋_GB2312" w:eastAsia="仿宋_GB2312"/>
          <w:sz w:val="32"/>
          <w:szCs w:val="32"/>
        </w:rPr>
        <w:t>  1.仓储管理。同一集团的各协同仓之间可在主体方统筹管理下，相互进行多仓协同业务，开展多仓协同业务时，应当按照</w:t>
      </w:r>
      <w:r>
        <w:rPr>
          <w:rFonts w:hint="eastAsia" w:ascii="仿宋_GB2312" w:hAnsi="仿宋_GB2312" w:eastAsia="仿宋_GB2312"/>
          <w:sz w:val="32"/>
          <w:szCs w:val="32"/>
          <w:lang w:eastAsia="zh-CN"/>
        </w:rPr>
        <w:t>主体方</w:t>
      </w:r>
      <w:r>
        <w:rPr>
          <w:rFonts w:ascii="仿宋_GB2312" w:hAnsi="仿宋_GB2312" w:eastAsia="仿宋_GB2312"/>
          <w:sz w:val="32"/>
          <w:szCs w:val="32"/>
        </w:rPr>
        <w:t>下达的指令</w:t>
      </w:r>
      <w:r>
        <w:rPr>
          <w:rFonts w:hint="eastAsia" w:ascii="仿宋_GB2312" w:hAnsi="仿宋_GB2312" w:eastAsia="仿宋_GB2312"/>
          <w:sz w:val="32"/>
          <w:szCs w:val="32"/>
          <w:lang w:eastAsia="zh-CN"/>
        </w:rPr>
        <w:t>对</w:t>
      </w:r>
      <w:r>
        <w:rPr>
          <w:rFonts w:hint="eastAsia" w:ascii="仿宋_GB2312" w:hAnsi="仿宋_GB2312" w:eastAsia="仿宋_GB2312" w:cstheme="minorBidi"/>
          <w:i w:val="0"/>
          <w:caps w:val="0"/>
          <w:spacing w:val="0"/>
          <w:kern w:val="2"/>
          <w:sz w:val="32"/>
          <w:szCs w:val="32"/>
          <w:shd w:val="clear"/>
          <w:lang w:val="en-US" w:eastAsia="zh-CN" w:bidi="ar"/>
          <w14:ligatures w14:val="standardContextual"/>
        </w:rPr>
        <w:t>医疗器械的收货、查验、入库、贮存、检查、出库、配送、退回等各环节实施统一质量管理</w:t>
      </w:r>
      <w:r>
        <w:rPr>
          <w:rFonts w:ascii="仿宋_GB2312" w:hAnsi="仿宋_GB2312" w:eastAsia="仿宋_GB2312"/>
          <w:sz w:val="32"/>
          <w:szCs w:val="32"/>
        </w:rPr>
        <w:t>。</w:t>
      </w:r>
    </w:p>
    <w:p w14:paraId="13FB3ACA">
      <w:pPr>
        <w:keepNext w:val="0"/>
        <w:keepLines w:val="0"/>
        <w:widowControl/>
        <w:suppressLineNumbers w:val="0"/>
        <w:jc w:val="left"/>
      </w:pPr>
      <w:r>
        <w:rPr>
          <w:rFonts w:ascii="仿宋_GB2312" w:hAnsi="仿宋_GB2312" w:eastAsia="仿宋_GB2312"/>
          <w:sz w:val="32"/>
          <w:szCs w:val="32"/>
        </w:rPr>
        <w:t>  2.物流票据。</w:t>
      </w:r>
      <w:r>
        <w:rPr>
          <w:rFonts w:hint="eastAsia" w:ascii="仿宋_GB2312" w:hAnsi="仿宋_GB2312" w:eastAsia="仿宋_GB2312" w:cstheme="minorBidi"/>
          <w:i w:val="0"/>
          <w:caps w:val="0"/>
          <w:spacing w:val="0"/>
          <w:kern w:val="2"/>
          <w:sz w:val="32"/>
          <w:szCs w:val="32"/>
          <w:shd w:val="clear"/>
          <w:lang w:val="en-US" w:eastAsia="zh-CN" w:bidi="ar"/>
          <w14:ligatures w14:val="standardContextual"/>
        </w:rPr>
        <w:t>协同方从主体方购进</w:t>
      </w:r>
      <w:r>
        <w:rPr>
          <w:rFonts w:hint="eastAsia" w:ascii="仿宋_GB2312" w:hAnsi="仿宋_GB2312" w:eastAsia="仿宋_GB2312" w:cstheme="minorBidi"/>
          <w:i w:val="0"/>
          <w:caps w:val="0"/>
          <w:spacing w:val="0"/>
          <w:kern w:val="2"/>
          <w:sz w:val="32"/>
          <w:szCs w:val="32"/>
          <w:highlight w:val="none"/>
          <w:shd w:val="clear"/>
          <w:lang w:val="en-US" w:eastAsia="zh-CN" w:bidi="ar"/>
          <w14:ligatures w14:val="standardContextual"/>
        </w:rPr>
        <w:t>已在协同库房中的</w:t>
      </w:r>
      <w:r>
        <w:rPr>
          <w:rFonts w:hint="eastAsia" w:ascii="仿宋_GB2312" w:hAnsi="仿宋_GB2312" w:eastAsia="仿宋_GB2312" w:cstheme="minorBidi"/>
          <w:i w:val="0"/>
          <w:caps w:val="0"/>
          <w:spacing w:val="0"/>
          <w:kern w:val="2"/>
          <w:sz w:val="32"/>
          <w:szCs w:val="32"/>
          <w:shd w:val="clear"/>
          <w:lang w:val="en-US" w:eastAsia="zh-CN" w:bidi="ar"/>
          <w14:ligatures w14:val="standardContextual"/>
        </w:rPr>
        <w:t>“多仓协同”医疗器械品种的，应按照《医疗器械经营质量管理规范》及多仓协同管理要求执行。该情形下，可通过计算机系统直接完成货主转移，免于收货验收流程，相关质量记录由信息系统自动生成。但协同方仍须索取随货同行单及购销发票，确保票、账、货、款一致。</w:t>
      </w:r>
    </w:p>
    <w:p w14:paraId="13E1AB2C">
      <w:pPr>
        <w:keepNext w:val="0"/>
        <w:keepLines w:val="0"/>
        <w:widowControl/>
        <w:suppressLineNumbers w:val="0"/>
        <w:spacing w:line="560" w:lineRule="exact"/>
        <w:jc w:val="left"/>
      </w:pPr>
      <w:r>
        <w:rPr>
          <w:rFonts w:ascii="仿宋_GB2312" w:hAnsi="仿宋_GB2312" w:eastAsia="仿宋_GB2312"/>
          <w:sz w:val="32"/>
          <w:szCs w:val="32"/>
        </w:rPr>
        <w:t>  3.</w:t>
      </w:r>
      <w:r>
        <w:rPr>
          <w:rFonts w:hint="default" w:ascii="仿宋_GB2312" w:hAnsi="仿宋_GB2312" w:eastAsia="仿宋_GB2312"/>
          <w:sz w:val="32"/>
          <w:szCs w:val="32"/>
          <w:lang w:eastAsia="zh-CN"/>
        </w:rPr>
        <w:t>运输管理。</w:t>
      </w:r>
      <w:r>
        <w:rPr>
          <w:rFonts w:hint="default" w:ascii="仿宋_GB2312" w:hAnsi="仿宋_GB2312" w:eastAsia="仿宋_GB2312" w:cstheme="minorBidi"/>
          <w:b w:val="0"/>
          <w:i w:val="0"/>
          <w:caps w:val="0"/>
          <w:spacing w:val="0"/>
          <w:kern w:val="2"/>
          <w:sz w:val="32"/>
          <w:szCs w:val="32"/>
          <w:shd w:val="clear"/>
          <w:lang w:val="en-US" w:eastAsia="zh-CN" w:bidi="ar"/>
          <w14:ligatures w14:val="standardContextual"/>
        </w:rPr>
        <w:t>多仓协同运输应由主体方统筹，实施统一调度与全过程管控。主体方应制定统一的运输操作规程，明确运输过程中的温控监测、时限管理、在途异常处置及交付签收等要求；协同方应按照主体方下达的运输指令，使用符合规定的运输工具和温控设施设备，确保运输途中医疗器械质量持续符合储存条件。运输记录应当</w:t>
      </w:r>
      <w:r>
        <w:rPr>
          <w:rFonts w:hint="eastAsia" w:ascii="仿宋_GB2312" w:hAnsi="仿宋_GB2312" w:eastAsia="仿宋_GB2312" w:cstheme="minorBidi"/>
          <w:b w:val="0"/>
          <w:i w:val="0"/>
          <w:caps w:val="0"/>
          <w:spacing w:val="0"/>
          <w:kern w:val="2"/>
          <w:sz w:val="32"/>
          <w:szCs w:val="32"/>
          <w:shd w:val="clear"/>
          <w:lang w:val="en-US" w:eastAsia="zh-CN" w:bidi="ar"/>
          <w14:ligatures w14:val="standardContextual"/>
        </w:rPr>
        <w:t>及</w:t>
      </w:r>
      <w:r>
        <w:rPr>
          <w:rFonts w:hint="default" w:ascii="仿宋_GB2312" w:hAnsi="仿宋_GB2312" w:eastAsia="仿宋_GB2312" w:cstheme="minorBidi"/>
          <w:b w:val="0"/>
          <w:i w:val="0"/>
          <w:caps w:val="0"/>
          <w:spacing w:val="0"/>
          <w:kern w:val="2"/>
          <w:sz w:val="32"/>
          <w:szCs w:val="32"/>
          <w:shd w:val="clear"/>
          <w:lang w:val="en-US" w:eastAsia="zh-CN" w:bidi="ar"/>
          <w14:ligatures w14:val="standardContextual"/>
        </w:rPr>
        <w:t>时上传至统一的信息管理系统，实现运输</w:t>
      </w:r>
      <w:r>
        <w:rPr>
          <w:rFonts w:hint="eastAsia" w:ascii="仿宋_GB2312" w:hAnsi="仿宋_GB2312" w:eastAsia="仿宋_GB2312" w:cstheme="minorBidi"/>
          <w:b w:val="0"/>
          <w:i w:val="0"/>
          <w:caps w:val="0"/>
          <w:spacing w:val="0"/>
          <w:kern w:val="2"/>
          <w:sz w:val="32"/>
          <w:szCs w:val="32"/>
          <w:shd w:val="clear"/>
          <w:lang w:val="en-US" w:eastAsia="zh-CN" w:bidi="ar"/>
          <w14:ligatures w14:val="standardContextual"/>
        </w:rPr>
        <w:t>时间、</w:t>
      </w:r>
      <w:r>
        <w:rPr>
          <w:rFonts w:hint="default" w:ascii="仿宋_GB2312" w:hAnsi="仿宋_GB2312" w:eastAsia="仿宋_GB2312" w:cstheme="minorBidi"/>
          <w:b w:val="0"/>
          <w:i w:val="0"/>
          <w:caps w:val="0"/>
          <w:spacing w:val="0"/>
          <w:kern w:val="2"/>
          <w:sz w:val="32"/>
          <w:szCs w:val="32"/>
          <w:shd w:val="clear"/>
          <w:lang w:val="en-US" w:eastAsia="zh-CN" w:bidi="ar"/>
          <w14:ligatures w14:val="standardContextual"/>
        </w:rPr>
        <w:t>温控数据、送达凭证等信息的全程可追溯。</w:t>
      </w:r>
    </w:p>
    <w:p w14:paraId="3E437D63">
      <w:pPr>
        <w:keepNext w:val="0"/>
        <w:keepLines w:val="0"/>
        <w:widowControl/>
        <w:suppressLineNumbers w:val="0"/>
        <w:spacing w:line="560" w:lineRule="exact"/>
        <w:ind w:firstLine="640" w:firstLineChars="200"/>
        <w:jc w:val="left"/>
      </w:pPr>
      <w:r>
        <w:rPr>
          <w:rFonts w:hint="eastAsia" w:ascii="仿宋_GB2312" w:hAnsi="仿宋_GB2312" w:eastAsia="仿宋_GB2312"/>
          <w:sz w:val="32"/>
          <w:szCs w:val="32"/>
          <w:lang w:val="en-US" w:eastAsia="zh-CN"/>
        </w:rPr>
        <w:t>4.</w:t>
      </w:r>
      <w:r>
        <w:rPr>
          <w:rFonts w:ascii="仿宋_GB2312" w:hAnsi="仿宋_GB2312" w:eastAsia="仿宋_GB2312"/>
          <w:sz w:val="32"/>
          <w:szCs w:val="32"/>
        </w:rPr>
        <w:t>委托配送。</w:t>
      </w:r>
      <w:r>
        <w:rPr>
          <w:rFonts w:hint="eastAsia" w:ascii="仿宋_GB2312" w:hAnsi="仿宋_GB2312" w:eastAsia="仿宋_GB2312"/>
          <w:sz w:val="32"/>
          <w:szCs w:val="32"/>
        </w:rPr>
        <w:t>主体方</w:t>
      </w:r>
      <w:r>
        <w:rPr>
          <w:rFonts w:ascii="仿宋_GB2312" w:hAnsi="仿宋_GB2312" w:eastAsia="仿宋_GB2312"/>
          <w:sz w:val="32"/>
          <w:szCs w:val="32"/>
        </w:rPr>
        <w:t>接受</w:t>
      </w:r>
      <w:r>
        <w:rPr>
          <w:rFonts w:hint="eastAsia" w:ascii="仿宋_GB2312" w:hAnsi="仿宋_GB2312" w:eastAsia="仿宋_GB2312"/>
          <w:sz w:val="32"/>
          <w:szCs w:val="32"/>
        </w:rPr>
        <w:t>其他医疗器械</w:t>
      </w:r>
      <w:r>
        <w:rPr>
          <w:rFonts w:hint="eastAsia" w:ascii="仿宋_GB2312" w:hAnsi="仿宋_GB2312" w:eastAsia="仿宋_GB2312"/>
          <w:sz w:val="32"/>
          <w:szCs w:val="32"/>
          <w:lang w:eastAsia="zh-CN"/>
        </w:rPr>
        <w:t>经营</w:t>
      </w:r>
      <w:r>
        <w:rPr>
          <w:rFonts w:hint="eastAsia" w:ascii="仿宋_GB2312" w:hAnsi="仿宋_GB2312" w:eastAsia="仿宋_GB2312"/>
          <w:sz w:val="32"/>
          <w:szCs w:val="32"/>
        </w:rPr>
        <w:t>企业</w:t>
      </w:r>
      <w:r>
        <w:rPr>
          <w:rFonts w:ascii="仿宋_GB2312" w:hAnsi="仿宋_GB2312" w:eastAsia="仿宋_GB2312"/>
          <w:sz w:val="32"/>
          <w:szCs w:val="32"/>
        </w:rPr>
        <w:t>委托储存、配送的</w:t>
      </w:r>
      <w:r>
        <w:rPr>
          <w:rFonts w:hint="eastAsia" w:ascii="仿宋_GB2312" w:hAnsi="仿宋_GB2312" w:eastAsia="仿宋_GB2312"/>
          <w:sz w:val="32"/>
          <w:szCs w:val="32"/>
        </w:rPr>
        <w:t>医疗器械品种</w:t>
      </w:r>
      <w:r>
        <w:rPr>
          <w:rFonts w:ascii="仿宋_GB2312" w:hAnsi="仿宋_GB2312" w:eastAsia="仿宋_GB2312"/>
          <w:sz w:val="32"/>
          <w:szCs w:val="32"/>
        </w:rPr>
        <w:t>，可以使用其协同仓</w:t>
      </w:r>
      <w:r>
        <w:rPr>
          <w:rFonts w:hint="eastAsia" w:ascii="仿宋_GB2312" w:hAnsi="仿宋_GB2312" w:eastAsia="仿宋_GB2312"/>
          <w:sz w:val="32"/>
          <w:szCs w:val="32"/>
          <w:lang w:eastAsia="zh-CN"/>
        </w:rPr>
        <w:t>，</w:t>
      </w:r>
      <w:r>
        <w:rPr>
          <w:rFonts w:hint="default" w:ascii="仿宋_GB2312" w:hAnsi="仿宋_GB2312" w:eastAsia="仿宋_GB2312" w:cstheme="minorBidi"/>
          <w:b w:val="0"/>
          <w:i w:val="0"/>
          <w:caps w:val="0"/>
          <w:spacing w:val="0"/>
          <w:kern w:val="2"/>
          <w:sz w:val="32"/>
          <w:szCs w:val="32"/>
          <w:shd w:val="clear"/>
          <w:lang w:val="en-US" w:eastAsia="zh-CN" w:bidi="ar"/>
          <w14:ligatures w14:val="standardContextual"/>
        </w:rPr>
        <w:t>应由主体方统一对承运方进行质量能力审核，签订质量协议，并纳入多仓协同统一管理体系</w:t>
      </w:r>
      <w:r>
        <w:rPr>
          <w:rFonts w:ascii="仿宋_GB2312" w:hAnsi="仿宋_GB2312" w:eastAsia="仿宋_GB2312"/>
          <w:sz w:val="32"/>
          <w:szCs w:val="32"/>
        </w:rPr>
        <w:t>。委托方应对受托方的质量保证能力进行评估，签订委托协议</w:t>
      </w:r>
      <w:r>
        <w:rPr>
          <w:rFonts w:hint="eastAsia" w:ascii="仿宋_GB2312" w:hAnsi="仿宋_GB2312" w:eastAsia="仿宋_GB2312"/>
          <w:sz w:val="32"/>
          <w:szCs w:val="32"/>
        </w:rPr>
        <w:t>中应包含是否同意使用其协同仓，</w:t>
      </w:r>
      <w:r>
        <w:rPr>
          <w:rFonts w:ascii="仿宋_GB2312" w:hAnsi="仿宋_GB2312" w:eastAsia="仿宋_GB2312"/>
          <w:sz w:val="32"/>
          <w:szCs w:val="32"/>
        </w:rPr>
        <w:t>明确双方质量责任，并监督受托方在多仓协同全过程</w:t>
      </w:r>
      <w:r>
        <w:rPr>
          <w:rFonts w:hint="eastAsia" w:ascii="仿宋_GB2312" w:hAnsi="仿宋_GB2312" w:eastAsia="仿宋_GB2312"/>
          <w:sz w:val="32"/>
          <w:szCs w:val="32"/>
        </w:rPr>
        <w:t>中</w:t>
      </w:r>
      <w:r>
        <w:rPr>
          <w:rFonts w:ascii="仿宋_GB2312" w:hAnsi="仿宋_GB2312" w:eastAsia="仿宋_GB2312"/>
          <w:sz w:val="32"/>
          <w:szCs w:val="32"/>
        </w:rPr>
        <w:t>确保医疗器械质量持续符合要求。</w:t>
      </w:r>
    </w:p>
    <w:p w14:paraId="4BC5ECCD">
      <w:pPr>
        <w:spacing w:line="560" w:lineRule="exact"/>
        <w:rPr>
          <w:rFonts w:hint="eastAsia" w:ascii="仿宋_GB2312" w:hAnsi="仿宋_GB2312" w:eastAsia="仿宋_GB2312"/>
          <w:sz w:val="32"/>
          <w:szCs w:val="32"/>
        </w:rPr>
      </w:pPr>
      <w:r>
        <w:rPr>
          <w:rFonts w:ascii="仿宋_GB2312" w:hAnsi="仿宋_GB2312" w:eastAsia="仿宋_GB2312"/>
          <w:sz w:val="32"/>
          <w:szCs w:val="32"/>
        </w:rPr>
        <w:t>  </w:t>
      </w:r>
      <w:r>
        <w:rPr>
          <w:rFonts w:hint="eastAsia" w:ascii="仿宋_GB2312" w:hAnsi="仿宋_GB2312" w:eastAsia="仿宋_GB2312"/>
          <w:sz w:val="32"/>
          <w:szCs w:val="32"/>
          <w:lang w:eastAsia="zh-CN"/>
        </w:rPr>
        <w:t>（</w:t>
      </w:r>
      <w:r>
        <w:rPr>
          <w:rFonts w:hint="eastAsia" w:ascii="楷体_GB2312" w:hAnsi="仿宋_GB2312" w:eastAsia="楷体_GB2312" w:cs="仿宋_GB2312"/>
          <w:bCs/>
          <w:color w:val="auto"/>
          <w:sz w:val="32"/>
          <w:szCs w:val="32"/>
          <w:shd w:val="clear" w:color="auto" w:fill="auto"/>
          <w:lang w:bidi="ar"/>
          <w14:ligatures w14:val="none"/>
        </w:rPr>
        <w:t>五</w:t>
      </w:r>
      <w:r>
        <w:rPr>
          <w:rFonts w:hint="eastAsia" w:ascii="楷体_GB2312" w:hAnsi="仿宋_GB2312" w:eastAsia="楷体_GB2312" w:cs="仿宋_GB2312"/>
          <w:bCs/>
          <w:color w:val="auto"/>
          <w:sz w:val="32"/>
          <w:szCs w:val="32"/>
          <w:shd w:val="clear" w:color="auto" w:fill="auto"/>
          <w:lang w:eastAsia="zh-CN" w:bidi="ar"/>
          <w14:ligatures w14:val="none"/>
        </w:rPr>
        <w:t>）</w:t>
      </w:r>
      <w:r>
        <w:rPr>
          <w:rFonts w:hint="eastAsia" w:ascii="楷体_GB2312" w:hAnsi="仿宋_GB2312" w:eastAsia="楷体_GB2312" w:cs="仿宋_GB2312"/>
          <w:bCs/>
          <w:color w:val="auto"/>
          <w:sz w:val="32"/>
          <w:szCs w:val="32"/>
          <w:shd w:val="clear" w:color="auto" w:fill="auto"/>
          <w:lang w:bidi="ar"/>
          <w14:ligatures w14:val="none"/>
        </w:rPr>
        <w:t>申请流程</w:t>
      </w:r>
    </w:p>
    <w:p w14:paraId="4E1EF815">
      <w:pPr>
        <w:spacing w:line="560" w:lineRule="exact"/>
        <w:rPr>
          <w:rFonts w:hint="default" w:ascii="仿宋_GB2312" w:hAnsi="仿宋_GB2312" w:eastAsia="仿宋_GB2312"/>
          <w:sz w:val="32"/>
          <w:szCs w:val="32"/>
          <w:lang w:val="en-US" w:eastAsia="zh-CN"/>
        </w:rPr>
      </w:pPr>
      <w:r>
        <w:rPr>
          <w:rFonts w:ascii="仿宋_GB2312" w:hAnsi="仿宋_GB2312" w:eastAsia="仿宋_GB2312"/>
          <w:sz w:val="32"/>
          <w:szCs w:val="32"/>
        </w:rPr>
        <w:t> </w:t>
      </w:r>
      <w:r>
        <w:rPr>
          <w:rFonts w:hint="eastAsia" w:ascii="仿宋_GB2312" w:hAnsi="仿宋_GB2312" w:eastAsia="仿宋_GB2312"/>
          <w:sz w:val="32"/>
          <w:szCs w:val="32"/>
          <w:lang w:val="en-US" w:eastAsia="zh-CN"/>
        </w:rPr>
        <w:t xml:space="preserve">  </w:t>
      </w:r>
      <w:r>
        <w:rPr>
          <w:rFonts w:ascii="仿宋_GB2312" w:hAnsi="仿宋_GB2312" w:eastAsia="仿宋_GB2312" w:cstheme="minorBidi"/>
          <w:i w:val="0"/>
          <w:caps w:val="0"/>
          <w:spacing w:val="0"/>
          <w:kern w:val="2"/>
          <w:sz w:val="32"/>
          <w:szCs w:val="32"/>
          <w:shd w:val="clear"/>
          <w:lang w:val="en-US" w:eastAsia="zh-CN" w:bidi="ar"/>
          <w14:ligatures w14:val="standardContextual"/>
        </w:rPr>
        <w:t>多仓协同审批按</w:t>
      </w:r>
      <w:r>
        <w:rPr>
          <w:rFonts w:hint="eastAsia" w:ascii="仿宋_GB2312" w:hAnsi="仿宋_GB2312" w:eastAsia="仿宋_GB2312"/>
          <w:sz w:val="32"/>
          <w:szCs w:val="32"/>
        </w:rPr>
        <w:t>《</w:t>
      </w:r>
      <w:r>
        <w:rPr>
          <w:rFonts w:ascii="仿宋_GB2312" w:hAnsi="仿宋_GB2312" w:eastAsia="仿宋_GB2312"/>
          <w:sz w:val="32"/>
          <w:szCs w:val="32"/>
        </w:rPr>
        <w:t>北京市医疗器械经营监督管理办法实施细则</w:t>
      </w:r>
      <w:r>
        <w:rPr>
          <w:rFonts w:hint="eastAsia" w:ascii="仿宋_GB2312" w:hAnsi="仿宋_GB2312" w:eastAsia="仿宋_GB2312"/>
          <w:sz w:val="32"/>
          <w:szCs w:val="32"/>
        </w:rPr>
        <w:t>》</w:t>
      </w:r>
      <w:r>
        <w:rPr>
          <w:rFonts w:ascii="仿宋_GB2312" w:hAnsi="仿宋_GB2312" w:eastAsia="仿宋_GB2312" w:cstheme="minorBidi"/>
          <w:i w:val="0"/>
          <w:caps w:val="0"/>
          <w:spacing w:val="0"/>
          <w:kern w:val="2"/>
          <w:sz w:val="32"/>
          <w:szCs w:val="32"/>
          <w:shd w:val="clear"/>
          <w:lang w:val="en-US" w:eastAsia="zh-CN" w:bidi="ar"/>
          <w14:ligatures w14:val="standardContextual"/>
        </w:rPr>
        <w:t>变更仓库地址办理。</w:t>
      </w:r>
    </w:p>
    <w:p w14:paraId="0FC478E0">
      <w:pPr>
        <w:keepNext w:val="0"/>
        <w:keepLines w:val="0"/>
        <w:widowControl/>
        <w:suppressLineNumbers w:val="0"/>
        <w:ind w:firstLine="640" w:firstLineChars="200"/>
        <w:jc w:val="left"/>
        <w:rPr>
          <w:rFonts w:hint="eastAsia" w:ascii="仿宋_GB2312" w:hAnsi="仿宋_GB2312" w:eastAsia="仿宋_GB2312"/>
          <w:sz w:val="32"/>
          <w:szCs w:val="32"/>
          <w:lang w:eastAsia="zh-CN"/>
        </w:rPr>
      </w:pPr>
      <w:r>
        <w:rPr>
          <w:rFonts w:ascii="仿宋_GB2312" w:hAnsi="仿宋_GB2312" w:eastAsia="仿宋_GB2312"/>
          <w:sz w:val="32"/>
          <w:szCs w:val="32"/>
        </w:rPr>
        <w:t>1.首次申请</w:t>
      </w:r>
      <w:r>
        <w:rPr>
          <w:rFonts w:hint="eastAsia" w:ascii="仿宋_GB2312" w:hAnsi="仿宋_GB2312" w:eastAsia="仿宋_GB2312"/>
          <w:sz w:val="32"/>
          <w:szCs w:val="32"/>
          <w:lang w:eastAsia="zh-CN"/>
        </w:rPr>
        <w:t>。本市</w:t>
      </w:r>
      <w:r>
        <w:rPr>
          <w:rFonts w:ascii="仿宋_GB2312" w:hAnsi="仿宋_GB2312" w:eastAsia="仿宋_GB2312"/>
          <w:sz w:val="32"/>
          <w:szCs w:val="32"/>
        </w:rPr>
        <w:t>医疗器械</w:t>
      </w:r>
      <w:r>
        <w:rPr>
          <w:rFonts w:hint="eastAsia" w:ascii="仿宋_GB2312" w:hAnsi="仿宋_GB2312" w:eastAsia="仿宋_GB2312"/>
          <w:sz w:val="32"/>
          <w:szCs w:val="32"/>
          <w:lang w:eastAsia="zh-CN"/>
        </w:rPr>
        <w:t>批发</w:t>
      </w:r>
      <w:r>
        <w:rPr>
          <w:rFonts w:ascii="仿宋_GB2312" w:hAnsi="仿宋_GB2312" w:eastAsia="仿宋_GB2312"/>
          <w:sz w:val="32"/>
          <w:szCs w:val="32"/>
        </w:rPr>
        <w:t>企业</w:t>
      </w:r>
      <w:r>
        <w:rPr>
          <w:rFonts w:hint="eastAsia" w:ascii="仿宋_GB2312" w:hAnsi="仿宋_GB2312" w:eastAsia="仿宋_GB2312"/>
          <w:sz w:val="32"/>
          <w:szCs w:val="32"/>
          <w:lang w:eastAsia="zh-CN"/>
        </w:rPr>
        <w:t>作为主体方</w:t>
      </w:r>
      <w:r>
        <w:rPr>
          <w:rFonts w:ascii="仿宋_GB2312" w:hAnsi="仿宋_GB2312" w:eastAsia="仿宋_GB2312"/>
          <w:sz w:val="32"/>
          <w:szCs w:val="32"/>
        </w:rPr>
        <w:t>首次开展医疗器械多仓协同业务的，应当由主体方向</w:t>
      </w:r>
      <w:r>
        <w:rPr>
          <w:rFonts w:hint="eastAsia" w:ascii="仿宋_GB2312" w:hAnsi="仿宋_GB2312" w:eastAsia="仿宋_GB2312"/>
          <w:sz w:val="32"/>
          <w:szCs w:val="32"/>
          <w:lang w:eastAsia="zh-CN"/>
        </w:rPr>
        <w:t>属地区级市场</w:t>
      </w:r>
      <w:r>
        <w:rPr>
          <w:rFonts w:hint="default" w:ascii="仿宋_GB2312" w:hAnsi="仿宋_GB2312" w:eastAsia="仿宋_GB2312"/>
          <w:color w:val="auto"/>
          <w:sz w:val="32"/>
          <w:szCs w:val="32"/>
        </w:rPr>
        <w:t>监督管理</w:t>
      </w:r>
      <w:r>
        <w:rPr>
          <w:rFonts w:hint="eastAsia" w:ascii="仿宋" w:hAnsi="仿宋" w:eastAsia="仿宋"/>
          <w:color w:val="333333"/>
          <w:sz w:val="32"/>
          <w:szCs w:val="32"/>
        </w:rPr>
        <w:t>部门</w:t>
      </w:r>
      <w:r>
        <w:rPr>
          <w:rFonts w:ascii="仿宋_GB2312" w:hAnsi="仿宋_GB2312" w:eastAsia="仿宋_GB2312"/>
          <w:sz w:val="32"/>
          <w:szCs w:val="32"/>
        </w:rPr>
        <w:t>提交相关资料，并对资料的真实性负责</w:t>
      </w: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协同方应予以必要配合，协助提供相关资料。</w:t>
      </w:r>
    </w:p>
    <w:p w14:paraId="77D352ED">
      <w:pPr>
        <w:spacing w:line="560" w:lineRule="exact"/>
        <w:rPr>
          <w:rFonts w:hint="eastAsia" w:ascii="仿宋_GB2312" w:hAnsi="仿宋_GB2312" w:eastAsia="仿宋_GB2312"/>
          <w:sz w:val="32"/>
          <w:szCs w:val="32"/>
        </w:rPr>
      </w:pPr>
      <w:r>
        <w:rPr>
          <w:rFonts w:ascii="仿宋_GB2312" w:hAnsi="仿宋_GB2312" w:eastAsia="仿宋_GB2312"/>
          <w:sz w:val="32"/>
          <w:szCs w:val="32"/>
        </w:rPr>
        <w:t>  </w:t>
      </w:r>
      <w:r>
        <w:rPr>
          <w:rFonts w:hint="eastAsia" w:ascii="仿宋_GB2312" w:hAnsi="仿宋_GB2312" w:eastAsia="仿宋_GB2312"/>
          <w:sz w:val="32"/>
          <w:szCs w:val="32"/>
          <w:lang w:eastAsia="zh-CN"/>
        </w:rPr>
        <w:t>主体方</w:t>
      </w:r>
      <w:r>
        <w:rPr>
          <w:rFonts w:ascii="仿宋_GB2312" w:hAnsi="仿宋_GB2312" w:eastAsia="仿宋_GB2312"/>
          <w:sz w:val="32"/>
          <w:szCs w:val="32"/>
        </w:rPr>
        <w:t>提交资料包括以下内容</w:t>
      </w:r>
      <w:r>
        <w:rPr>
          <w:rFonts w:hint="eastAsia" w:ascii="仿宋_GB2312" w:hAnsi="仿宋_GB2312" w:eastAsia="仿宋_GB2312"/>
          <w:sz w:val="32"/>
          <w:szCs w:val="32"/>
          <w:lang w:eastAsia="zh-CN"/>
        </w:rPr>
        <w:t>：</w:t>
      </w:r>
    </w:p>
    <w:p w14:paraId="5D732D45">
      <w:pPr>
        <w:keepNext w:val="0"/>
        <w:keepLines w:val="0"/>
        <w:widowControl/>
        <w:suppressLineNumbers w:val="0"/>
        <w:jc w:val="left"/>
        <w:rPr>
          <w:rFonts w:hint="eastAsia" w:ascii="仿宋_GB2312" w:hAnsi="仿宋_GB2312" w:eastAsia="仿宋_GB2312"/>
          <w:sz w:val="32"/>
          <w:szCs w:val="32"/>
          <w:lang w:eastAsia="zh-CN"/>
        </w:rPr>
      </w:pPr>
      <w:r>
        <w:rPr>
          <w:rFonts w:ascii="仿宋_GB2312" w:hAnsi="仿宋_GB2312" w:eastAsia="仿宋_GB2312"/>
          <w:sz w:val="32"/>
          <w:szCs w:val="32"/>
        </w:rPr>
        <w:t>  (1)</w:t>
      </w:r>
      <w:r>
        <w:rPr>
          <w:rFonts w:ascii="仿宋_GB2312" w:hAnsi="仿宋_GB2312" w:eastAsia="仿宋_GB2312"/>
          <w:sz w:val="32"/>
          <w:szCs w:val="32"/>
          <w:lang w:val="en-US" w:eastAsia="zh-CN"/>
        </w:rPr>
        <w:t>开展医疗器械多仓协同业务模式书面申请</w:t>
      </w:r>
      <w:r>
        <w:rPr>
          <w:rFonts w:hint="eastAsia" w:ascii="仿宋_GB2312" w:hAnsi="仿宋_GB2312" w:eastAsia="仿宋_GB2312"/>
          <w:sz w:val="32"/>
          <w:szCs w:val="32"/>
          <w:lang w:val="en-US" w:eastAsia="zh-CN"/>
        </w:rPr>
        <w:t>及仓库地址变更申请表</w:t>
      </w:r>
      <w:r>
        <w:rPr>
          <w:rFonts w:hint="eastAsia" w:ascii="仿宋_GB2312" w:hAnsi="仿宋_GB2312" w:eastAsia="仿宋_GB2312"/>
          <w:sz w:val="32"/>
          <w:szCs w:val="32"/>
          <w:lang w:eastAsia="zh-CN"/>
        </w:rPr>
        <w:t>；</w:t>
      </w:r>
    </w:p>
    <w:p w14:paraId="2837247A">
      <w:pPr>
        <w:keepNext w:val="0"/>
        <w:keepLines w:val="0"/>
        <w:widowControl/>
        <w:suppressLineNumbers w:val="0"/>
        <w:jc w:val="left"/>
        <w:rPr>
          <w:rFonts w:ascii="仿宋_GB2312" w:hAnsi="仿宋_GB2312" w:eastAsia="仿宋_GB2312"/>
          <w:sz w:val="32"/>
          <w:szCs w:val="32"/>
        </w:rPr>
      </w:pPr>
      <w:r>
        <w:rPr>
          <w:rFonts w:ascii="仿宋_GB2312" w:hAnsi="仿宋_GB2312" w:eastAsia="仿宋_GB2312"/>
          <w:sz w:val="32"/>
          <w:szCs w:val="32"/>
        </w:rPr>
        <w:t>  (2)</w:t>
      </w:r>
      <w:r>
        <w:rPr>
          <w:rFonts w:ascii="仿宋_GB2312" w:hAnsi="仿宋_GB2312" w:eastAsia="仿宋_GB2312"/>
          <w:sz w:val="32"/>
          <w:szCs w:val="32"/>
          <w:lang w:val="en-US" w:eastAsia="zh-CN"/>
        </w:rPr>
        <w:t>主体方与各协同方之间的隶属关系说明文件，以及股权结构证明文件（须包含国家企业信用信息公示系统企业股东信息截屏）</w:t>
      </w:r>
      <w:r>
        <w:rPr>
          <w:rFonts w:ascii="仿宋_GB2312" w:hAnsi="仿宋_GB2312" w:eastAsia="仿宋_GB2312"/>
          <w:sz w:val="32"/>
          <w:szCs w:val="32"/>
        </w:rPr>
        <w:t>；</w:t>
      </w:r>
    </w:p>
    <w:p w14:paraId="2780D8C9">
      <w:pPr>
        <w:keepNext w:val="0"/>
        <w:keepLines w:val="0"/>
        <w:widowControl/>
        <w:suppressLineNumbers w:val="0"/>
        <w:ind w:firstLine="640" w:firstLineChars="200"/>
        <w:jc w:val="left"/>
        <w:rPr>
          <w:rFonts w:hint="eastAsia" w:ascii="仿宋_GB2312" w:hAnsi="仿宋_GB2312" w:eastAsia="仿宋_GB2312"/>
          <w:sz w:val="32"/>
          <w:szCs w:val="32"/>
        </w:rPr>
      </w:pPr>
      <w:r>
        <w:rPr>
          <w:rFonts w:ascii="仿宋_GB2312" w:hAnsi="仿宋_GB2312" w:eastAsia="仿宋_GB2312"/>
          <w:sz w:val="32"/>
          <w:szCs w:val="32"/>
        </w:rPr>
        <w:t>(3)主体方和所有协同方《营业执照</w:t>
      </w:r>
      <w:r>
        <w:rPr>
          <w:rFonts w:hint="eastAsia" w:ascii="仿宋_GB2312" w:hAnsi="仿宋_GB2312" w:eastAsia="仿宋_GB2312"/>
          <w:sz w:val="32"/>
          <w:szCs w:val="32"/>
        </w:rPr>
        <w:t>》</w:t>
      </w:r>
      <w:r>
        <w:rPr>
          <w:rFonts w:ascii="仿宋_GB2312" w:hAnsi="仿宋_GB2312" w:eastAsia="仿宋_GB2312"/>
          <w:sz w:val="32"/>
          <w:szCs w:val="32"/>
        </w:rPr>
        <w:t>《医疗器械经营许可证》《第二类医疗器械经营备案凭证》</w:t>
      </w:r>
      <w:r>
        <w:rPr>
          <w:rFonts w:hint="eastAsia" w:ascii="仿宋_GB2312" w:hAnsi="仿宋_GB2312" w:eastAsia="仿宋_GB2312"/>
          <w:sz w:val="32"/>
          <w:szCs w:val="32"/>
        </w:rPr>
        <w:t>（若有）</w:t>
      </w:r>
      <w:r>
        <w:rPr>
          <w:rFonts w:ascii="仿宋_GB2312" w:hAnsi="仿宋_GB2312" w:eastAsia="仿宋_GB2312"/>
          <w:sz w:val="32"/>
          <w:szCs w:val="32"/>
        </w:rPr>
        <w:t>等资质证明及仓库平面图；</w:t>
      </w:r>
    </w:p>
    <w:p w14:paraId="494A7A34">
      <w:pPr>
        <w:widowControl/>
        <w:spacing w:line="560" w:lineRule="exact"/>
        <w:jc w:val="left"/>
        <w:rPr>
          <w:rFonts w:hint="eastAsia"/>
        </w:rPr>
      </w:pPr>
      <w:r>
        <w:rPr>
          <w:rFonts w:ascii="仿宋_GB2312" w:hAnsi="仿宋_GB2312" w:eastAsia="仿宋_GB2312"/>
          <w:sz w:val="32"/>
          <w:szCs w:val="32"/>
        </w:rPr>
        <w:t>  (4)多仓协同实施方案（包含质量管控、</w:t>
      </w:r>
      <w:r>
        <w:rPr>
          <w:rFonts w:hint="eastAsia" w:ascii="仿宋_GB2312" w:hAnsi="仿宋_GB2312" w:eastAsia="仿宋_GB2312"/>
          <w:sz w:val="32"/>
          <w:szCs w:val="32"/>
        </w:rPr>
        <w:t>品种情况、</w:t>
      </w:r>
      <w:r>
        <w:rPr>
          <w:rFonts w:ascii="仿宋_GB2312" w:hAnsi="仿宋_GB2312" w:eastAsia="仿宋_GB2312"/>
          <w:sz w:val="32"/>
          <w:szCs w:val="32"/>
        </w:rPr>
        <w:t>仓储</w:t>
      </w:r>
      <w:r>
        <w:rPr>
          <w:rFonts w:hint="eastAsia" w:ascii="仿宋_GB2312" w:hAnsi="仿宋_GB2312" w:eastAsia="仿宋_GB2312"/>
          <w:sz w:val="32"/>
          <w:szCs w:val="32"/>
        </w:rPr>
        <w:t>承载情况</w:t>
      </w:r>
      <w:r>
        <w:rPr>
          <w:rFonts w:ascii="仿宋_GB2312" w:hAnsi="仿宋_GB2312" w:eastAsia="仿宋_GB2312"/>
          <w:sz w:val="32"/>
          <w:szCs w:val="32"/>
        </w:rPr>
        <w:t>、</w:t>
      </w:r>
      <w:r>
        <w:rPr>
          <w:rFonts w:hint="eastAsia" w:ascii="仿宋_GB2312" w:hAnsi="仿宋_GB2312" w:eastAsia="仿宋_GB2312"/>
          <w:sz w:val="32"/>
          <w:szCs w:val="32"/>
        </w:rPr>
        <w:t>计算机</w:t>
      </w:r>
      <w:r>
        <w:rPr>
          <w:rFonts w:ascii="仿宋_GB2312" w:hAnsi="仿宋_GB2312" w:eastAsia="仿宋_GB2312"/>
          <w:sz w:val="32"/>
          <w:szCs w:val="32"/>
        </w:rPr>
        <w:t>系统、物流配送、风险防控等）；</w:t>
      </w:r>
    </w:p>
    <w:p w14:paraId="46A38699">
      <w:pPr>
        <w:widowControl/>
        <w:spacing w:line="560" w:lineRule="exact"/>
        <w:jc w:val="left"/>
        <w:rPr>
          <w:rFonts w:ascii="仿宋_GB2312" w:hAnsi="仿宋_GB2312" w:eastAsia="仿宋_GB2312"/>
          <w:sz w:val="32"/>
          <w:szCs w:val="32"/>
        </w:rPr>
      </w:pPr>
      <w:r>
        <w:rPr>
          <w:rFonts w:ascii="仿宋_GB2312" w:hAnsi="仿宋_GB2312" w:eastAsia="仿宋_GB2312"/>
          <w:sz w:val="32"/>
          <w:szCs w:val="32"/>
        </w:rPr>
        <w:t>  (5)多仓协同质量管理体系建立情况；</w:t>
      </w:r>
    </w:p>
    <w:p w14:paraId="35F59C3D">
      <w:pPr>
        <w:widowControl/>
        <w:spacing w:line="560" w:lineRule="exact"/>
        <w:ind w:firstLine="640" w:firstLineChars="200"/>
        <w:jc w:val="left"/>
        <w:rPr>
          <w:rFonts w:hint="eastAsia"/>
        </w:rPr>
      </w:pPr>
      <w:r>
        <w:rPr>
          <w:rFonts w:hint="eastAsia" w:ascii="仿宋_GB2312" w:hAnsi="仿宋_GB2312" w:eastAsia="仿宋_GB2312"/>
          <w:sz w:val="32"/>
          <w:szCs w:val="32"/>
          <w:lang w:val="en-US" w:eastAsia="zh-CN"/>
        </w:rPr>
        <w:t>(6)</w:t>
      </w:r>
      <w:r>
        <w:rPr>
          <w:rFonts w:hint="eastAsia" w:ascii="仿宋_GB2312" w:hAnsi="仿宋_GB2312" w:eastAsia="仿宋_GB2312"/>
          <w:sz w:val="32"/>
          <w:szCs w:val="32"/>
        </w:rPr>
        <w:t>主体方</w:t>
      </w:r>
      <w:r>
        <w:rPr>
          <w:rFonts w:ascii="仿宋_GB2312" w:hAnsi="仿宋_GB2312" w:eastAsia="仿宋_GB2312"/>
          <w:sz w:val="32"/>
          <w:szCs w:val="32"/>
        </w:rPr>
        <w:t>对协同方质量审计评估情况；</w:t>
      </w:r>
    </w:p>
    <w:p w14:paraId="2CDBB3E0">
      <w:pPr>
        <w:widowControl/>
        <w:numPr>
          <w:ilvl w:val="-1"/>
          <w:numId w:val="0"/>
        </w:numPr>
        <w:spacing w:line="560" w:lineRule="exact"/>
        <w:ind w:firstLine="0" w:firstLineChars="0"/>
        <w:jc w:val="left"/>
        <w:rPr>
          <w:rFonts w:hint="eastAsia" w:eastAsia="仿宋_GB2312"/>
        </w:rPr>
      </w:pPr>
      <w:r>
        <w:rPr>
          <w:rFonts w:hint="eastAsia" w:ascii="仿宋_GB2312" w:hAnsi="仿宋_GB2312" w:eastAsia="仿宋_GB2312"/>
          <w:sz w:val="32"/>
          <w:szCs w:val="32"/>
          <w:lang w:val="en-US" w:eastAsia="zh-CN"/>
        </w:rPr>
        <w:t xml:space="preserve">    (7)</w:t>
      </w:r>
      <w:r>
        <w:rPr>
          <w:rFonts w:hint="eastAsia" w:ascii="仿宋_GB2312" w:hAnsi="仿宋_GB2312" w:eastAsia="仿宋_GB2312"/>
          <w:sz w:val="32"/>
          <w:szCs w:val="32"/>
          <w:lang w:eastAsia="zh-CN"/>
        </w:rPr>
        <w:t>市场</w:t>
      </w:r>
      <w:r>
        <w:rPr>
          <w:rFonts w:ascii="仿宋_GB2312" w:hAnsi="仿宋_GB2312" w:eastAsia="仿宋_GB2312"/>
          <w:sz w:val="32"/>
          <w:szCs w:val="32"/>
        </w:rPr>
        <w:t>监督管理部门要求提交的其他情况及承诺声明信息</w:t>
      </w:r>
      <w:r>
        <w:rPr>
          <w:rFonts w:hint="eastAsia" w:ascii="仿宋_GB2312" w:hAnsi="仿宋_GB2312" w:eastAsia="仿宋_GB2312"/>
          <w:sz w:val="32"/>
          <w:szCs w:val="32"/>
        </w:rPr>
        <w:t>。</w:t>
      </w:r>
    </w:p>
    <w:p w14:paraId="73C13DBC">
      <w:pPr>
        <w:spacing w:line="560" w:lineRule="exact"/>
        <w:rPr>
          <w:rFonts w:hint="eastAsia" w:ascii="仿宋_GB2312" w:hAnsi="仿宋_GB2312" w:eastAsia="仿宋_GB2312"/>
          <w:sz w:val="32"/>
          <w:szCs w:val="32"/>
        </w:rPr>
      </w:pPr>
      <w:r>
        <w:rPr>
          <w:rFonts w:ascii="仿宋_GB2312" w:hAnsi="仿宋_GB2312" w:eastAsia="仿宋_GB2312"/>
          <w:sz w:val="32"/>
          <w:szCs w:val="32"/>
        </w:rPr>
        <w:t>  2.变更申请</w:t>
      </w:r>
      <w:r>
        <w:rPr>
          <w:rFonts w:hint="eastAsia" w:ascii="仿宋_GB2312" w:hAnsi="仿宋_GB2312" w:eastAsia="仿宋_GB2312"/>
          <w:sz w:val="32"/>
          <w:szCs w:val="32"/>
          <w:lang w:eastAsia="zh-CN"/>
        </w:rPr>
        <w:t>。本市</w:t>
      </w:r>
      <w:r>
        <w:rPr>
          <w:rFonts w:ascii="仿宋_GB2312" w:hAnsi="仿宋_GB2312" w:eastAsia="仿宋_GB2312"/>
          <w:sz w:val="32"/>
          <w:szCs w:val="32"/>
        </w:rPr>
        <w:t>企业发生以下</w:t>
      </w:r>
      <w:r>
        <w:rPr>
          <w:rFonts w:hint="eastAsia" w:ascii="仿宋_GB2312" w:hAnsi="仿宋_GB2312" w:eastAsia="仿宋_GB2312"/>
          <w:sz w:val="32"/>
          <w:szCs w:val="32"/>
        </w:rPr>
        <w:t>医疗器械</w:t>
      </w:r>
      <w:r>
        <w:rPr>
          <w:rFonts w:ascii="仿宋_GB2312" w:hAnsi="仿宋_GB2312" w:eastAsia="仿宋_GB2312"/>
          <w:sz w:val="32"/>
          <w:szCs w:val="32"/>
        </w:rPr>
        <w:t>多仓协同业务变更情形的，应当向</w:t>
      </w:r>
      <w:r>
        <w:rPr>
          <w:rFonts w:hint="eastAsia" w:ascii="仿宋_GB2312" w:hAnsi="仿宋_GB2312" w:eastAsia="仿宋_GB2312"/>
          <w:sz w:val="32"/>
          <w:szCs w:val="32"/>
          <w:lang w:eastAsia="zh-CN"/>
        </w:rPr>
        <w:t>属地区级市场</w:t>
      </w:r>
      <w:r>
        <w:rPr>
          <w:rFonts w:hint="default" w:ascii="仿宋_GB2312" w:hAnsi="仿宋_GB2312" w:eastAsia="仿宋_GB2312"/>
          <w:sz w:val="32"/>
          <w:szCs w:val="32"/>
        </w:rPr>
        <w:t>监督管理</w:t>
      </w:r>
      <w:r>
        <w:rPr>
          <w:rFonts w:hint="eastAsia" w:ascii="仿宋" w:hAnsi="仿宋" w:eastAsia="仿宋"/>
          <w:color w:val="333333"/>
          <w:sz w:val="32"/>
          <w:szCs w:val="32"/>
        </w:rPr>
        <w:t>部门</w:t>
      </w:r>
      <w:r>
        <w:rPr>
          <w:rFonts w:ascii="仿宋_GB2312" w:hAnsi="仿宋_GB2312" w:eastAsia="仿宋_GB2312"/>
          <w:sz w:val="32"/>
          <w:szCs w:val="32"/>
        </w:rPr>
        <w:t>提交变更申请，未经批准，不得擅自变更</w:t>
      </w:r>
      <w:r>
        <w:rPr>
          <w:rFonts w:hint="eastAsia" w:ascii="仿宋_GB2312" w:hAnsi="仿宋_GB2312" w:eastAsia="仿宋_GB2312"/>
          <w:sz w:val="32"/>
          <w:szCs w:val="32"/>
          <w:lang w:eastAsia="zh-CN"/>
        </w:rPr>
        <w:t>：</w:t>
      </w:r>
    </w:p>
    <w:p w14:paraId="6BFDEBAF">
      <w:pPr>
        <w:spacing w:line="560" w:lineRule="exact"/>
        <w:rPr>
          <w:rFonts w:hint="eastAsia" w:ascii="仿宋_GB2312" w:hAnsi="仿宋_GB2312" w:eastAsia="仿宋_GB2312"/>
          <w:sz w:val="32"/>
          <w:szCs w:val="32"/>
        </w:rPr>
      </w:pPr>
      <w:r>
        <w:rPr>
          <w:rFonts w:ascii="仿宋_GB2312" w:hAnsi="仿宋_GB2312" w:eastAsia="仿宋_GB2312"/>
          <w:sz w:val="32"/>
          <w:szCs w:val="32"/>
        </w:rPr>
        <w:t>  (1)增加或减少协同方的</w:t>
      </w:r>
      <w:r>
        <w:rPr>
          <w:rFonts w:hint="eastAsia" w:ascii="仿宋_GB2312" w:hAnsi="仿宋_GB2312" w:eastAsia="仿宋_GB2312"/>
          <w:sz w:val="32"/>
          <w:szCs w:val="32"/>
          <w:lang w:eastAsia="zh-CN"/>
        </w:rPr>
        <w:t>；</w:t>
      </w:r>
    </w:p>
    <w:p w14:paraId="4E0BF25D">
      <w:pPr>
        <w:spacing w:line="560" w:lineRule="exact"/>
        <w:rPr>
          <w:rFonts w:hint="eastAsia" w:ascii="仿宋_GB2312" w:hAnsi="仿宋_GB2312" w:eastAsia="仿宋_GB2312"/>
          <w:sz w:val="32"/>
          <w:szCs w:val="32"/>
        </w:rPr>
      </w:pPr>
      <w:r>
        <w:rPr>
          <w:rFonts w:ascii="仿宋_GB2312" w:hAnsi="仿宋_GB2312" w:eastAsia="仿宋_GB2312"/>
          <w:sz w:val="32"/>
          <w:szCs w:val="32"/>
        </w:rPr>
        <w:t>  (2)变更主体方或协同方仓库的</w:t>
      </w:r>
      <w:r>
        <w:rPr>
          <w:rFonts w:hint="eastAsia" w:ascii="仿宋_GB2312" w:hAnsi="仿宋_GB2312" w:eastAsia="仿宋_GB2312"/>
          <w:sz w:val="32"/>
          <w:szCs w:val="32"/>
          <w:lang w:eastAsia="zh-CN"/>
        </w:rPr>
        <w:t>；</w:t>
      </w:r>
    </w:p>
    <w:p w14:paraId="2FBD4A5C">
      <w:pPr>
        <w:spacing w:line="560" w:lineRule="exact"/>
        <w:rPr>
          <w:rFonts w:hint="eastAsia" w:ascii="仿宋_GB2312" w:hAnsi="仿宋_GB2312" w:eastAsia="仿宋_GB2312"/>
          <w:sz w:val="32"/>
          <w:szCs w:val="32"/>
        </w:rPr>
      </w:pPr>
      <w:r>
        <w:rPr>
          <w:rFonts w:ascii="仿宋_GB2312" w:hAnsi="仿宋_GB2312" w:eastAsia="仿宋_GB2312"/>
          <w:sz w:val="32"/>
          <w:szCs w:val="32"/>
        </w:rPr>
        <w:t>  (3)终止开展多仓协同业务的。</w:t>
      </w:r>
    </w:p>
    <w:p w14:paraId="22050EDE">
      <w:pPr>
        <w:numPr>
          <w:ilvl w:val="0"/>
          <w:numId w:val="0"/>
        </w:numPr>
        <w:spacing w:line="560" w:lineRule="exact"/>
        <w:ind w:firstLine="640" w:firstLineChars="200"/>
        <w:rPr>
          <w:rFonts w:ascii="仿宋_GB2312" w:hAnsi="仿宋_GB2312" w:eastAsia="仿宋_GB2312"/>
          <w:sz w:val="32"/>
          <w:szCs w:val="32"/>
          <w:highlight w:val="none"/>
        </w:rPr>
      </w:pPr>
      <w:r>
        <w:rPr>
          <w:rFonts w:hint="eastAsia" w:ascii="仿宋_GB2312" w:hAnsi="仿宋_GB2312" w:eastAsia="仿宋_GB2312"/>
          <w:sz w:val="32"/>
          <w:szCs w:val="32"/>
          <w:highlight w:val="none"/>
          <w:lang w:val="en-US" w:eastAsia="zh-CN"/>
        </w:rPr>
        <w:t>3.</w:t>
      </w:r>
      <w:r>
        <w:rPr>
          <w:rFonts w:hint="eastAsia" w:ascii="仿宋_GB2312" w:hAnsi="仿宋_GB2312" w:eastAsia="仿宋_GB2312"/>
          <w:sz w:val="32"/>
          <w:szCs w:val="32"/>
          <w:highlight w:val="none"/>
          <w:lang w:eastAsia="zh-CN"/>
        </w:rPr>
        <w:t>审批事项及办理流程</w:t>
      </w:r>
      <w:r>
        <w:rPr>
          <w:rFonts w:ascii="仿宋_GB2312" w:hAnsi="仿宋_GB2312" w:eastAsia="仿宋_GB2312"/>
          <w:sz w:val="32"/>
          <w:szCs w:val="32"/>
          <w:highlight w:val="none"/>
        </w:rPr>
        <w:t>。</w:t>
      </w:r>
    </w:p>
    <w:p w14:paraId="5A214713">
      <w:pPr>
        <w:spacing w:line="560" w:lineRule="exact"/>
        <w:ind w:firstLine="640" w:firstLineChars="200"/>
        <w:rPr>
          <w:rFonts w:ascii="仿宋_GB2312" w:hAnsi="仿宋_GB2312" w:eastAsia="仿宋_GB2312"/>
          <w:sz w:val="32"/>
          <w:szCs w:val="32"/>
          <w:highlight w:val="none"/>
        </w:rPr>
      </w:pPr>
      <w:r>
        <w:rPr>
          <w:rFonts w:hint="default" w:ascii="仿宋_GB2312" w:hAnsi="仿宋_GB2312" w:eastAsia="仿宋_GB2312"/>
          <w:sz w:val="32"/>
          <w:szCs w:val="32"/>
          <w:highlight w:val="none"/>
        </w:rPr>
        <w:t>本市医疗器械批发企业跨行政区域设置协同库房（含本市跨区及跨省、自治区、直辖市），</w:t>
      </w:r>
      <w:r>
        <w:rPr>
          <w:rFonts w:hint="eastAsia" w:ascii="仿宋_GB2312" w:hAnsi="仿宋_GB2312" w:eastAsia="仿宋_GB2312"/>
          <w:sz w:val="32"/>
          <w:szCs w:val="32"/>
          <w:highlight w:val="none"/>
          <w:lang w:eastAsia="zh-CN"/>
        </w:rPr>
        <w:t>参照</w:t>
      </w:r>
      <w:r>
        <w:rPr>
          <w:rFonts w:hint="default" w:ascii="仿宋_GB2312" w:hAnsi="仿宋_GB2312" w:eastAsia="仿宋_GB2312"/>
          <w:sz w:val="32"/>
          <w:szCs w:val="32"/>
          <w:highlight w:val="none"/>
        </w:rPr>
        <w:t>《国家药品监督管理局关于医疗器械经营企业跨行政区域设置库房办理事项的通告》（2018年第108号）规定的程序办理。</w:t>
      </w:r>
      <w:r>
        <w:rPr>
          <w:rFonts w:hint="eastAsia" w:ascii="仿宋_GB2312" w:hAnsi="仿宋_GB2312" w:eastAsia="仿宋_GB2312"/>
          <w:sz w:val="32"/>
          <w:szCs w:val="32"/>
          <w:highlight w:val="none"/>
          <w:lang w:eastAsia="zh-CN"/>
        </w:rPr>
        <w:t>北京市药品监督管理局</w:t>
      </w:r>
      <w:r>
        <w:rPr>
          <w:rFonts w:hint="default" w:ascii="仿宋_GB2312" w:hAnsi="仿宋_GB2312" w:eastAsia="仿宋_GB2312"/>
          <w:sz w:val="32"/>
          <w:szCs w:val="32"/>
          <w:highlight w:val="none"/>
        </w:rPr>
        <w:t>药械流通</w:t>
      </w:r>
      <w:r>
        <w:rPr>
          <w:rFonts w:hint="eastAsia" w:ascii="仿宋_GB2312" w:hAnsi="仿宋_GB2312" w:eastAsia="仿宋_GB2312"/>
          <w:sz w:val="32"/>
          <w:szCs w:val="32"/>
          <w:highlight w:val="none"/>
          <w:lang w:eastAsia="zh-CN"/>
        </w:rPr>
        <w:t>监督管理</w:t>
      </w:r>
      <w:r>
        <w:rPr>
          <w:rFonts w:hint="default" w:ascii="仿宋_GB2312" w:hAnsi="仿宋_GB2312" w:eastAsia="仿宋_GB2312"/>
          <w:sz w:val="32"/>
          <w:szCs w:val="32"/>
          <w:highlight w:val="none"/>
        </w:rPr>
        <w:t>处</w:t>
      </w:r>
      <w:r>
        <w:rPr>
          <w:rFonts w:hint="eastAsia" w:ascii="仿宋_GB2312" w:hAnsi="仿宋_GB2312" w:eastAsia="仿宋_GB2312"/>
          <w:sz w:val="32"/>
          <w:szCs w:val="32"/>
          <w:highlight w:val="none"/>
          <w:lang w:eastAsia="zh-CN"/>
        </w:rPr>
        <w:t>（以下简称“药械流通处”）</w:t>
      </w:r>
      <w:r>
        <w:rPr>
          <w:rFonts w:hint="default" w:ascii="仿宋_GB2312" w:hAnsi="仿宋_GB2312" w:eastAsia="仿宋_GB2312"/>
          <w:sz w:val="32"/>
          <w:szCs w:val="32"/>
          <w:highlight w:val="none"/>
        </w:rPr>
        <w:t>可根据工作需要，组织</w:t>
      </w:r>
      <w:r>
        <w:rPr>
          <w:rFonts w:hint="eastAsia" w:ascii="仿宋_GB2312" w:hAnsi="仿宋_GB2312" w:eastAsia="仿宋_GB2312"/>
          <w:sz w:val="32"/>
          <w:szCs w:val="32"/>
          <w:highlight w:val="none"/>
          <w:lang w:eastAsia="zh-CN"/>
        </w:rPr>
        <w:t>北京</w:t>
      </w:r>
      <w:r>
        <w:rPr>
          <w:rFonts w:hint="default" w:ascii="仿宋_GB2312" w:hAnsi="仿宋_GB2312" w:eastAsia="仿宋_GB2312"/>
          <w:sz w:val="32"/>
          <w:szCs w:val="32"/>
          <w:highlight w:val="none"/>
        </w:rPr>
        <w:t>市药品审评</w:t>
      </w:r>
      <w:r>
        <w:rPr>
          <w:rFonts w:hint="eastAsia" w:ascii="仿宋_GB2312" w:hAnsi="仿宋_GB2312" w:eastAsia="仿宋_GB2312"/>
          <w:sz w:val="32"/>
          <w:szCs w:val="32"/>
          <w:highlight w:val="none"/>
          <w:lang w:eastAsia="zh-CN"/>
        </w:rPr>
        <w:t>检查</w:t>
      </w:r>
      <w:r>
        <w:rPr>
          <w:rFonts w:hint="default" w:ascii="仿宋_GB2312" w:hAnsi="仿宋_GB2312" w:eastAsia="仿宋_GB2312"/>
          <w:sz w:val="32"/>
          <w:szCs w:val="32"/>
          <w:highlight w:val="none"/>
        </w:rPr>
        <w:t>中心</w:t>
      </w:r>
      <w:r>
        <w:rPr>
          <w:rFonts w:hint="eastAsia" w:ascii="仿宋_GB2312" w:hAnsi="仿宋_GB2312" w:eastAsia="仿宋_GB2312"/>
          <w:sz w:val="32"/>
          <w:szCs w:val="32"/>
          <w:highlight w:val="none"/>
          <w:lang w:eastAsia="zh-CN"/>
        </w:rPr>
        <w:t>（以下简称“市药审中心”）</w:t>
      </w:r>
      <w:r>
        <w:rPr>
          <w:rFonts w:hint="default" w:ascii="仿宋_GB2312" w:hAnsi="仿宋_GB2312" w:eastAsia="仿宋_GB2312"/>
          <w:sz w:val="32"/>
          <w:szCs w:val="32"/>
          <w:highlight w:val="none"/>
        </w:rPr>
        <w:t>提供技术审评支撑。</w:t>
      </w:r>
    </w:p>
    <w:p w14:paraId="54142CAD">
      <w:pPr>
        <w:numPr>
          <w:ilvl w:val="0"/>
          <w:numId w:val="1"/>
        </w:numPr>
        <w:spacing w:line="560" w:lineRule="exact"/>
        <w:ind w:firstLine="640" w:firstLineChars="200"/>
        <w:rPr>
          <w:rFonts w:hint="default" w:ascii="仿宋_GB2312" w:hAnsi="仿宋_GB2312" w:eastAsia="仿宋_GB2312"/>
          <w:sz w:val="32"/>
          <w:szCs w:val="32"/>
          <w:highlight w:val="none"/>
          <w:lang w:eastAsia="zh-CN"/>
        </w:rPr>
      </w:pPr>
      <w:r>
        <w:rPr>
          <w:rFonts w:hint="default" w:ascii="仿宋_GB2312" w:hAnsi="仿宋_GB2312" w:eastAsia="仿宋_GB2312"/>
          <w:sz w:val="32"/>
          <w:szCs w:val="32"/>
          <w:highlight w:val="none"/>
          <w:lang w:eastAsia="zh-CN"/>
        </w:rPr>
        <w:t>本市跨区多仓协同</w:t>
      </w:r>
    </w:p>
    <w:p w14:paraId="4E662B37">
      <w:pPr>
        <w:spacing w:line="560" w:lineRule="exact"/>
        <w:ind w:firstLine="640" w:firstLineChars="200"/>
        <w:rPr>
          <w:rFonts w:hint="default" w:ascii="仿宋_GB2312" w:hAnsi="仿宋_GB2312" w:eastAsia="仿宋_GB2312"/>
          <w:sz w:val="32"/>
          <w:szCs w:val="32"/>
          <w:highlight w:val="none"/>
        </w:rPr>
      </w:pPr>
      <w:r>
        <w:rPr>
          <w:rFonts w:hint="default" w:ascii="仿宋_GB2312" w:hAnsi="仿宋_GB2312" w:eastAsia="仿宋_GB2312"/>
          <w:sz w:val="32"/>
          <w:szCs w:val="32"/>
          <w:highlight w:val="none"/>
          <w:lang w:val="en-US" w:eastAsia="zh-CN"/>
        </w:rPr>
        <w:t>本市企业在本市行政区域内跨区设置协同库房的，由主体方（即发证部门）属地区级市场监督管理部门审核企业提交的变更申请。符合要求的，应当在商协同库房所在地的区级市场监督管理部门同意后，于3个工作日内向该部门发出协助现场验收的函。协同库房所在地的区级市场监督管理部门收到函后，应当在5个工作日内组织开展现场核查（必要时可请主体方属地区级市场监督管理部门共同参与），并于核查结束后将验收结果书面告知主体方属地区级市场监督管理部门。</w:t>
      </w:r>
    </w:p>
    <w:p w14:paraId="2B2F0319">
      <w:pPr>
        <w:spacing w:line="560" w:lineRule="exact"/>
        <w:ind w:firstLine="640" w:firstLineChars="200"/>
        <w:rPr>
          <w:rFonts w:hint="default" w:ascii="仿宋_GB2312" w:hAnsi="仿宋_GB2312" w:eastAsia="仿宋_GB2312"/>
          <w:sz w:val="32"/>
          <w:szCs w:val="32"/>
          <w:highlight w:val="none"/>
          <w:lang w:eastAsia="zh-CN"/>
        </w:rPr>
      </w:pPr>
      <w:r>
        <w:rPr>
          <w:rFonts w:hint="default" w:ascii="仿宋_GB2312" w:hAnsi="仿宋_GB2312" w:eastAsia="仿宋_GB2312"/>
          <w:sz w:val="32"/>
          <w:szCs w:val="32"/>
          <w:highlight w:val="none"/>
          <w:lang w:eastAsia="zh-CN"/>
        </w:rPr>
        <w:t>（2）外埠跨区域设仓</w:t>
      </w:r>
    </w:p>
    <w:p w14:paraId="6885ECAA">
      <w:pPr>
        <w:spacing w:line="560" w:lineRule="exact"/>
        <w:ind w:firstLine="640" w:firstLineChars="200"/>
        <w:rPr>
          <w:rFonts w:hint="default" w:ascii="仿宋_GB2312" w:hAnsi="仿宋_GB2312" w:eastAsia="仿宋_GB2312"/>
          <w:sz w:val="32"/>
          <w:szCs w:val="32"/>
          <w:highlight w:val="none"/>
          <w:lang w:val="en-US" w:eastAsia="zh-CN"/>
        </w:rPr>
      </w:pPr>
      <w:r>
        <w:rPr>
          <w:rFonts w:hint="default" w:ascii="仿宋_GB2312" w:hAnsi="仿宋_GB2312" w:eastAsia="仿宋_GB2312"/>
          <w:sz w:val="32"/>
          <w:szCs w:val="32"/>
          <w:highlight w:val="none"/>
          <w:lang w:val="en-US" w:eastAsia="zh-CN"/>
        </w:rPr>
        <w:t>本市医疗器械批发企业跨省、自治区、直辖市设置协同库房的，由主体方属地区级市场监督管理部门（即发证部门）商协同方所在地设区的市级负责药品监督管理的部门同意后，向该部门发出协助现场验收的函，并依据该部门反馈的现场验收结果办理仓库地址标注手续。</w:t>
      </w:r>
    </w:p>
    <w:p w14:paraId="45B9CB1E">
      <w:pPr>
        <w:spacing w:line="560" w:lineRule="exact"/>
        <w:ind w:firstLine="640" w:firstLineChars="200"/>
        <w:rPr>
          <w:rFonts w:hint="default" w:ascii="仿宋_GB2312" w:hAnsi="仿宋_GB2312" w:eastAsia="仿宋_GB2312"/>
          <w:sz w:val="32"/>
          <w:szCs w:val="32"/>
          <w:highlight w:val="none"/>
          <w:lang w:val="en-US" w:eastAsia="zh-CN"/>
        </w:rPr>
      </w:pPr>
      <w:r>
        <w:rPr>
          <w:rFonts w:hint="default" w:ascii="仿宋_GB2312" w:hAnsi="仿宋_GB2312" w:eastAsia="仿宋_GB2312"/>
          <w:sz w:val="32"/>
          <w:szCs w:val="32"/>
          <w:highlight w:val="none"/>
          <w:lang w:val="en-US" w:eastAsia="zh-CN"/>
        </w:rPr>
        <w:t>京外主体方使用本市医疗器械批发企业仓库开展多仓协同业务的，由京外主体方所在地的医疗器械经营资质发证部门商本市协同库房所在地的区级市场监督管理部门同意后，向该部门发出协助现场验收的函。本市协同库房所在地的区级市场监督管理部门收到函后，应当在5个工作日内组织开展现场核查，并于核查结束后将验收结果书面告知京外主体方所在地的发证部门。</w:t>
      </w:r>
    </w:p>
    <w:p w14:paraId="020E19F5">
      <w:pPr>
        <w:spacing w:line="560" w:lineRule="exact"/>
        <w:ind w:firstLine="640" w:firstLineChars="200"/>
        <w:rPr>
          <w:rFonts w:hint="default" w:ascii="仿宋_GB2312" w:hAnsi="仿宋_GB2312" w:eastAsia="仿宋_GB2312"/>
          <w:sz w:val="32"/>
          <w:szCs w:val="32"/>
          <w:highlight w:val="none"/>
          <w:lang w:eastAsia="zh-CN"/>
        </w:rPr>
      </w:pPr>
      <w:r>
        <w:rPr>
          <w:rFonts w:hint="eastAsia" w:ascii="仿宋_GB2312" w:hAnsi="仿宋_GB2312" w:eastAsia="仿宋_GB2312"/>
          <w:sz w:val="32"/>
          <w:szCs w:val="32"/>
          <w:highlight w:val="none"/>
          <w:lang w:val="en-US" w:eastAsia="zh-CN"/>
        </w:rPr>
        <w:t>4.</w:t>
      </w:r>
      <w:r>
        <w:rPr>
          <w:rFonts w:hint="default" w:ascii="仿宋_GB2312" w:hAnsi="仿宋_GB2312" w:eastAsia="仿宋_GB2312"/>
          <w:sz w:val="32"/>
          <w:szCs w:val="32"/>
          <w:highlight w:val="none"/>
          <w:lang w:eastAsia="zh-CN"/>
        </w:rPr>
        <w:t>本市企业按以下方式办理标注手续</w:t>
      </w:r>
    </w:p>
    <w:p w14:paraId="54D60D4A">
      <w:pPr>
        <w:spacing w:line="560" w:lineRule="exact"/>
        <w:ind w:firstLine="640" w:firstLineChars="200"/>
        <w:rPr>
          <w:rFonts w:hint="default" w:ascii="仿宋_GB2312" w:hAnsi="仿宋_GB2312" w:eastAsia="仿宋_GB2312"/>
          <w:sz w:val="32"/>
          <w:szCs w:val="32"/>
          <w:highlight w:val="none"/>
          <w:lang w:eastAsia="zh-CN"/>
        </w:rPr>
      </w:pPr>
      <w:r>
        <w:rPr>
          <w:rFonts w:hint="default" w:ascii="仿宋_GB2312" w:hAnsi="仿宋_GB2312" w:eastAsia="仿宋_GB2312"/>
          <w:sz w:val="32"/>
          <w:szCs w:val="32"/>
          <w:highlight w:val="none"/>
          <w:lang w:eastAsia="zh-CN"/>
        </w:rPr>
        <w:t>主体方属地区级市场监督管理部门收到库房所在地监管部门验收合格通知后，在主体方《医疗器械经营许可证》或《第二类医疗器械经营备案凭证》中标注增加仓库地址，格式为：“XX市XX区XX路XX号（协同库房）”；协同方属地区级市场监督管理部门，收到协同方提交的仓库变更申请（申请资料附件应包含主体方变更后的上述许可证或备案凭证）后，在协同方《医疗器械经营许可证》或《第二类医疗器械经营备案凭证》的仓库地址后，标注“（作为XX企业的协同库房）”。</w:t>
      </w:r>
    </w:p>
    <w:p w14:paraId="36E30DB7">
      <w:pPr>
        <w:spacing w:line="560" w:lineRule="exact"/>
        <w:ind w:firstLine="640" w:firstLineChars="200"/>
        <w:rPr>
          <w:rFonts w:hint="default" w:ascii="仿宋_GB2312" w:hAnsi="仿宋_GB2312" w:eastAsia="仿宋_GB2312"/>
          <w:sz w:val="32"/>
          <w:szCs w:val="32"/>
          <w:highlight w:val="none"/>
          <w:lang w:eastAsia="zh-CN"/>
        </w:rPr>
      </w:pPr>
      <w:r>
        <w:rPr>
          <w:rFonts w:hint="default" w:ascii="仿宋_GB2312" w:hAnsi="仿宋_GB2312" w:eastAsia="仿宋_GB2312"/>
          <w:sz w:val="32"/>
          <w:szCs w:val="32"/>
          <w:highlight w:val="none"/>
          <w:lang w:eastAsia="zh-CN"/>
        </w:rPr>
        <w:t>办理完成后，应当</w:t>
      </w:r>
      <w:r>
        <w:rPr>
          <w:rFonts w:hint="eastAsia" w:ascii="仿宋_GB2312" w:hAnsi="仿宋_GB2312" w:eastAsia="仿宋_GB2312"/>
          <w:sz w:val="32"/>
          <w:szCs w:val="32"/>
          <w:highlight w:val="none"/>
          <w:lang w:eastAsia="zh-CN"/>
        </w:rPr>
        <w:t>于</w:t>
      </w:r>
      <w:r>
        <w:rPr>
          <w:rFonts w:hint="eastAsia" w:ascii="仿宋_GB2312" w:hAnsi="仿宋_GB2312" w:eastAsia="仿宋_GB2312"/>
          <w:sz w:val="32"/>
          <w:szCs w:val="32"/>
          <w:highlight w:val="none"/>
          <w:lang w:val="en-US" w:eastAsia="zh-CN"/>
        </w:rPr>
        <w:t>5个工作日内</w:t>
      </w:r>
      <w:r>
        <w:rPr>
          <w:rFonts w:hint="default" w:ascii="仿宋_GB2312" w:hAnsi="仿宋_GB2312" w:eastAsia="仿宋_GB2312"/>
          <w:sz w:val="32"/>
          <w:szCs w:val="32"/>
          <w:highlight w:val="none"/>
          <w:lang w:eastAsia="zh-CN"/>
        </w:rPr>
        <w:t>报药械流通处备案（见附件），并抄送市药审中心。</w:t>
      </w:r>
    </w:p>
    <w:p w14:paraId="306D8687">
      <w:pPr>
        <w:spacing w:line="560" w:lineRule="exact"/>
        <w:rPr>
          <w:rFonts w:hint="eastAsia" w:ascii="黑体" w:hAnsi="黑体" w:eastAsia="黑体"/>
          <w:sz w:val="32"/>
          <w:szCs w:val="32"/>
        </w:rPr>
      </w:pPr>
      <w:r>
        <w:rPr>
          <w:rFonts w:ascii="黑体" w:hAnsi="黑体" w:eastAsia="黑体"/>
          <w:sz w:val="32"/>
          <w:szCs w:val="32"/>
        </w:rPr>
        <w:t>  三、企业责任</w:t>
      </w:r>
    </w:p>
    <w:p w14:paraId="72F64ADB">
      <w:pPr>
        <w:spacing w:line="560" w:lineRule="exact"/>
        <w:rPr>
          <w:rFonts w:hint="eastAsia" w:ascii="仿宋_GB2312" w:hAnsi="仿宋_GB2312" w:eastAsia="仿宋_GB2312"/>
          <w:sz w:val="32"/>
          <w:szCs w:val="32"/>
        </w:rPr>
      </w:pPr>
      <w:r>
        <w:rPr>
          <w:rFonts w:ascii="仿宋_GB2312" w:hAnsi="仿宋_GB2312" w:eastAsia="仿宋_GB2312"/>
          <w:sz w:val="32"/>
          <w:szCs w:val="32"/>
        </w:rPr>
        <w:t>  开展多仓协同业务的相关企业，应当严格执行《医疗器械监督管理条例》《医疗器械经营监督管理办法》《医疗器械经营质量管理规范》等法规、规章，严格落实企业主体责任，依法依规开展医疗器械多仓协同，</w:t>
      </w:r>
      <w:r>
        <w:rPr>
          <w:rFonts w:hint="eastAsia" w:ascii="仿宋_GB2312" w:hAnsi="仿宋_GB2312" w:eastAsia="仿宋_GB2312"/>
          <w:sz w:val="32"/>
          <w:szCs w:val="32"/>
          <w:lang w:eastAsia="zh-CN"/>
        </w:rPr>
        <w:t>保证</w:t>
      </w:r>
      <w:r>
        <w:rPr>
          <w:rFonts w:ascii="仿宋_GB2312" w:hAnsi="仿宋_GB2312" w:eastAsia="仿宋_GB2312"/>
          <w:sz w:val="32"/>
          <w:szCs w:val="32"/>
        </w:rPr>
        <w:t>医疗器械</w:t>
      </w:r>
      <w:r>
        <w:rPr>
          <w:rFonts w:hint="eastAsia" w:ascii="仿宋_GB2312" w:hAnsi="仿宋_GB2312" w:eastAsia="仿宋_GB2312"/>
          <w:sz w:val="32"/>
          <w:szCs w:val="32"/>
          <w:lang w:eastAsia="zh-CN"/>
        </w:rPr>
        <w:t>质量安全</w:t>
      </w:r>
      <w:r>
        <w:rPr>
          <w:rFonts w:ascii="仿宋_GB2312" w:hAnsi="仿宋_GB2312" w:eastAsia="仿宋_GB2312"/>
          <w:sz w:val="32"/>
          <w:szCs w:val="32"/>
        </w:rPr>
        <w:t>。</w:t>
      </w:r>
    </w:p>
    <w:p w14:paraId="1025D6C0">
      <w:pPr>
        <w:spacing w:line="560" w:lineRule="exact"/>
        <w:rPr>
          <w:rFonts w:hint="eastAsia" w:ascii="仿宋_GB2312" w:hAnsi="仿宋_GB2312" w:eastAsia="仿宋_GB2312"/>
          <w:sz w:val="32"/>
          <w:szCs w:val="32"/>
        </w:rPr>
      </w:pPr>
      <w:r>
        <w:rPr>
          <w:rFonts w:ascii="仿宋_GB2312" w:hAnsi="仿宋_GB2312" w:eastAsia="仿宋_GB2312"/>
          <w:sz w:val="32"/>
          <w:szCs w:val="32"/>
        </w:rPr>
        <w:t> </w:t>
      </w:r>
      <w:r>
        <w:rPr>
          <w:rFonts w:hint="eastAsia" w:ascii="楷体_GB2312" w:hAnsi="仿宋_GB2312" w:eastAsia="楷体_GB2312" w:cs="仿宋_GB2312"/>
          <w:bCs/>
          <w:color w:val="auto"/>
          <w:sz w:val="32"/>
          <w:szCs w:val="32"/>
          <w:shd w:val="clear" w:color="auto" w:fill="auto"/>
          <w:lang w:bidi="ar"/>
          <w14:ligatures w14:val="none"/>
        </w:rPr>
        <w:t> </w:t>
      </w:r>
      <w:r>
        <w:rPr>
          <w:rFonts w:hint="eastAsia" w:ascii="楷体_GB2312" w:hAnsi="仿宋_GB2312" w:eastAsia="楷体_GB2312" w:cs="仿宋_GB2312"/>
          <w:bCs/>
          <w:color w:val="auto"/>
          <w:sz w:val="32"/>
          <w:szCs w:val="32"/>
          <w:shd w:val="clear" w:color="auto" w:fill="auto"/>
          <w:lang w:eastAsia="zh-CN" w:bidi="ar"/>
          <w14:ligatures w14:val="none"/>
        </w:rPr>
        <w:t>（</w:t>
      </w:r>
      <w:r>
        <w:rPr>
          <w:rFonts w:hint="eastAsia" w:ascii="楷体_GB2312" w:hAnsi="仿宋_GB2312" w:eastAsia="楷体_GB2312" w:cs="仿宋_GB2312"/>
          <w:bCs/>
          <w:color w:val="auto"/>
          <w:sz w:val="32"/>
          <w:szCs w:val="32"/>
          <w:shd w:val="clear" w:color="auto" w:fill="auto"/>
          <w:lang w:bidi="ar"/>
          <w14:ligatures w14:val="none"/>
        </w:rPr>
        <w:t>一</w:t>
      </w:r>
      <w:r>
        <w:rPr>
          <w:rFonts w:hint="eastAsia" w:ascii="楷体_GB2312" w:hAnsi="仿宋_GB2312" w:eastAsia="楷体_GB2312" w:cs="仿宋_GB2312"/>
          <w:bCs/>
          <w:color w:val="auto"/>
          <w:sz w:val="32"/>
          <w:szCs w:val="32"/>
          <w:shd w:val="clear" w:color="auto" w:fill="auto"/>
          <w:lang w:eastAsia="zh-CN" w:bidi="ar"/>
          <w14:ligatures w14:val="none"/>
        </w:rPr>
        <w:t>）</w:t>
      </w:r>
      <w:r>
        <w:rPr>
          <w:rFonts w:hint="eastAsia" w:ascii="楷体_GB2312" w:hAnsi="仿宋_GB2312" w:eastAsia="楷体_GB2312" w:cs="仿宋_GB2312"/>
          <w:bCs/>
          <w:color w:val="auto"/>
          <w:sz w:val="32"/>
          <w:szCs w:val="32"/>
          <w:shd w:val="clear" w:color="auto" w:fill="auto"/>
          <w:lang w:bidi="ar"/>
          <w14:ligatures w14:val="none"/>
        </w:rPr>
        <w:t>主体方责任</w:t>
      </w:r>
    </w:p>
    <w:p w14:paraId="0BF298C8">
      <w:pPr>
        <w:widowControl/>
        <w:spacing w:line="560" w:lineRule="exact"/>
        <w:ind w:firstLine="640" w:firstLineChars="200"/>
        <w:jc w:val="left"/>
        <w:rPr>
          <w:rFonts w:hint="default" w:ascii="仿宋_GB2312" w:hAnsi="仿宋_GB2312" w:eastAsia="仿宋_GB2312"/>
          <w:sz w:val="32"/>
          <w:szCs w:val="32"/>
          <w:lang w:bidi="ar"/>
        </w:rPr>
      </w:pPr>
      <w:r>
        <w:rPr>
          <w:rFonts w:ascii="仿宋_GB2312" w:hAnsi="仿宋_GB2312" w:eastAsia="仿宋_GB2312"/>
          <w:sz w:val="32"/>
          <w:szCs w:val="32"/>
          <w:lang w:bidi="ar"/>
        </w:rPr>
        <w:t>主体方应当承担医疗器械多仓协同全过程</w:t>
      </w:r>
      <w:r>
        <w:rPr>
          <w:rFonts w:hint="default" w:ascii="仿宋_GB2312" w:hAnsi="仿宋_GB2312" w:eastAsia="仿宋_GB2312"/>
          <w:sz w:val="32"/>
          <w:szCs w:val="32"/>
          <w:lang w:bidi="ar"/>
        </w:rPr>
        <w:t>质量</w:t>
      </w:r>
      <w:r>
        <w:rPr>
          <w:rFonts w:ascii="仿宋_GB2312" w:hAnsi="仿宋_GB2312" w:eastAsia="仿宋_GB2312"/>
          <w:sz w:val="32"/>
          <w:szCs w:val="32"/>
          <w:lang w:bidi="ar"/>
        </w:rPr>
        <w:t>管理及风险防控</w:t>
      </w:r>
      <w:r>
        <w:rPr>
          <w:rFonts w:hint="default" w:ascii="仿宋_GB2312" w:hAnsi="仿宋_GB2312" w:eastAsia="仿宋_GB2312"/>
          <w:sz w:val="32"/>
          <w:szCs w:val="32"/>
          <w:lang w:eastAsia="zh-CN" w:bidi="ar"/>
        </w:rPr>
        <w:t>责任</w:t>
      </w:r>
      <w:r>
        <w:rPr>
          <w:rFonts w:ascii="仿宋_GB2312" w:hAnsi="仿宋_GB2312" w:eastAsia="仿宋_GB2312"/>
          <w:sz w:val="32"/>
          <w:szCs w:val="32"/>
          <w:lang w:bidi="ar"/>
        </w:rPr>
        <w:t>，并履行以下职责：</w:t>
      </w:r>
    </w:p>
    <w:p w14:paraId="6915DA95">
      <w:pPr>
        <w:widowControl/>
        <w:spacing w:line="560" w:lineRule="exact"/>
        <w:ind w:firstLine="640" w:firstLineChars="200"/>
        <w:jc w:val="left"/>
        <w:rPr>
          <w:rFonts w:hint="default" w:ascii="仿宋_GB2312" w:hAnsi="仿宋_GB2312" w:eastAsia="仿宋_GB2312"/>
          <w:sz w:val="32"/>
          <w:szCs w:val="32"/>
          <w:lang w:eastAsia="zh-CN" w:bidi="ar"/>
        </w:rPr>
      </w:pPr>
      <w:r>
        <w:rPr>
          <w:rFonts w:hint="eastAsia" w:ascii="仿宋_GB2312" w:hAnsi="仿宋_GB2312" w:eastAsia="仿宋_GB2312"/>
          <w:sz w:val="32"/>
          <w:szCs w:val="32"/>
          <w:lang w:eastAsia="zh-CN" w:bidi="ar"/>
        </w:rPr>
        <w:t>1.</w:t>
      </w:r>
      <w:r>
        <w:rPr>
          <w:rFonts w:ascii="仿宋_GB2312" w:hAnsi="仿宋_GB2312" w:eastAsia="仿宋_GB2312" w:cstheme="minorBidi"/>
          <w:i w:val="0"/>
          <w:caps w:val="0"/>
          <w:spacing w:val="0"/>
          <w:kern w:val="2"/>
          <w:sz w:val="32"/>
          <w:szCs w:val="32"/>
          <w:shd w:val="clear"/>
          <w:lang w:val="en-US" w:eastAsia="zh-CN" w:bidi="ar"/>
          <w14:ligatures w14:val="standardContextual"/>
        </w:rPr>
        <w:t>建立统一的覆盖医疗器械多仓协同经营全过程的质量管理体系，</w:t>
      </w:r>
      <w:r>
        <w:rPr>
          <w:rFonts w:ascii="仿宋_GB2312" w:hAnsi="仿宋_GB2312" w:eastAsia="仿宋_GB2312" w:cstheme="minorBidi"/>
          <w:b w:val="0"/>
          <w:i w:val="0"/>
          <w:caps w:val="0"/>
          <w:spacing w:val="0"/>
          <w:kern w:val="2"/>
          <w:sz w:val="32"/>
          <w:szCs w:val="32"/>
          <w:shd w:val="clear"/>
          <w:lang w:val="en-US" w:eastAsia="zh-CN" w:bidi="ar"/>
          <w14:ligatures w14:val="standardContextual"/>
        </w:rPr>
        <w:t>制定多仓协同质量管理制度文件，建立与多仓协同业务相适应的计算机信息系统平台</w:t>
      </w:r>
      <w:r>
        <w:rPr>
          <w:rFonts w:hint="eastAsia" w:ascii="仿宋_GB2312" w:hAnsi="仿宋_GB2312" w:eastAsia="仿宋_GB2312" w:cstheme="minorBidi"/>
          <w:b w:val="0"/>
          <w:i w:val="0"/>
          <w:caps w:val="0"/>
          <w:spacing w:val="0"/>
          <w:kern w:val="2"/>
          <w:sz w:val="32"/>
          <w:szCs w:val="32"/>
          <w:shd w:val="clear"/>
          <w:lang w:val="en-US" w:eastAsia="zh-CN" w:bidi="ar"/>
          <w14:ligatures w14:val="standardContextual"/>
        </w:rPr>
        <w:t>，</w:t>
      </w:r>
      <w:r>
        <w:rPr>
          <w:rFonts w:ascii="仿宋_GB2312" w:hAnsi="仿宋_GB2312" w:eastAsia="仿宋_GB2312" w:cstheme="minorBidi"/>
          <w:i w:val="0"/>
          <w:caps w:val="0"/>
          <w:spacing w:val="0"/>
          <w:kern w:val="2"/>
          <w:sz w:val="32"/>
          <w:szCs w:val="32"/>
          <w:shd w:val="clear"/>
          <w:lang w:val="en-US" w:eastAsia="zh-CN" w:bidi="ar"/>
          <w14:ligatures w14:val="standardContextual"/>
        </w:rPr>
        <w:t>实现多仓协同全过程统一质量管理、统一数据管理和统一追溯管理</w:t>
      </w:r>
      <w:r>
        <w:rPr>
          <w:rFonts w:hint="eastAsia" w:ascii="仿宋_GB2312" w:hAnsi="仿宋_GB2312" w:eastAsia="仿宋_GB2312" w:cstheme="minorBidi"/>
          <w:i w:val="0"/>
          <w:caps w:val="0"/>
          <w:spacing w:val="0"/>
          <w:kern w:val="2"/>
          <w:sz w:val="32"/>
          <w:szCs w:val="32"/>
          <w:shd w:val="clear"/>
          <w:lang w:val="en-US" w:eastAsia="zh-CN" w:bidi="ar"/>
          <w14:ligatures w14:val="standardContextual"/>
        </w:rPr>
        <w:t>。</w:t>
      </w:r>
      <w:r>
        <w:rPr>
          <w:rFonts w:hint="default" w:ascii="仿宋_GB2312" w:hAnsi="仿宋_GB2312" w:eastAsia="仿宋_GB2312" w:cstheme="minorBidi"/>
          <w:i w:val="0"/>
          <w:caps w:val="0"/>
          <w:spacing w:val="0"/>
          <w:kern w:val="2"/>
          <w:sz w:val="32"/>
          <w:szCs w:val="32"/>
          <w:shd w:val="clear"/>
          <w:lang w:val="en-US" w:eastAsia="zh-CN" w:bidi="ar"/>
          <w14:ligatures w14:val="standardContextual"/>
        </w:rPr>
        <w:t>按照国家要求在经营活动中积极应用医疗器械唯一标识，做好带码入库、出库，确保经营数据和记录真实、完整、准确、可追溯</w:t>
      </w:r>
      <w:r>
        <w:rPr>
          <w:rFonts w:hint="eastAsia" w:ascii="仿宋_GB2312" w:hAnsi="仿宋_GB2312" w:eastAsia="仿宋_GB2312" w:cstheme="minorBidi"/>
          <w:i w:val="0"/>
          <w:caps w:val="0"/>
          <w:spacing w:val="0"/>
          <w:kern w:val="2"/>
          <w:sz w:val="32"/>
          <w:szCs w:val="32"/>
          <w:shd w:val="clear"/>
          <w:lang w:val="en-US" w:eastAsia="zh-CN" w:bidi="ar"/>
          <w14:ligatures w14:val="standardContextual"/>
        </w:rPr>
        <w:t>。</w:t>
      </w:r>
    </w:p>
    <w:p w14:paraId="7623DF7A">
      <w:pPr>
        <w:widowControl/>
        <w:spacing w:line="560" w:lineRule="exact"/>
        <w:ind w:firstLine="640" w:firstLineChars="200"/>
        <w:jc w:val="left"/>
        <w:rPr>
          <w:rFonts w:hint="default" w:ascii="仿宋_GB2312" w:hAnsi="仿宋_GB2312" w:eastAsia="仿宋_GB2312"/>
          <w:sz w:val="32"/>
          <w:szCs w:val="32"/>
          <w:lang w:eastAsia="zh-CN" w:bidi="ar"/>
        </w:rPr>
      </w:pPr>
      <w:r>
        <w:rPr>
          <w:rFonts w:hint="default" w:ascii="仿宋_GB2312" w:hAnsi="仿宋_GB2312" w:eastAsia="仿宋_GB2312"/>
          <w:sz w:val="32"/>
          <w:szCs w:val="32"/>
          <w:lang w:bidi="ar"/>
        </w:rPr>
        <w:t>2.</w:t>
      </w:r>
      <w:r>
        <w:rPr>
          <w:rFonts w:ascii="仿宋_GB2312" w:hAnsi="仿宋_GB2312" w:eastAsia="仿宋_GB2312" w:cstheme="minorBidi"/>
          <w:i w:val="0"/>
          <w:caps w:val="0"/>
          <w:spacing w:val="0"/>
          <w:kern w:val="2"/>
          <w:sz w:val="32"/>
          <w:szCs w:val="32"/>
          <w:shd w:val="clear"/>
          <w:lang w:val="en-US" w:eastAsia="zh-CN" w:bidi="ar"/>
          <w14:ligatures w14:val="standardContextual"/>
        </w:rPr>
        <w:t>对协同方开展准入审核，审核内容包含贮存、运输及质量保障能力，签订《医疗器械多仓协同贮存、配送合同》及质量保证协议，明确双方质量责任。</w:t>
      </w:r>
    </w:p>
    <w:p w14:paraId="4D1DD979">
      <w:pPr>
        <w:keepNext w:val="0"/>
        <w:keepLines w:val="0"/>
        <w:widowControl/>
        <w:suppressLineNumbers w:val="0"/>
        <w:spacing w:line="560" w:lineRule="exact"/>
        <w:ind w:firstLine="640" w:firstLineChars="200"/>
        <w:jc w:val="left"/>
        <w:rPr>
          <w:rFonts w:ascii="仿宋_GB2312" w:hAnsi="仿宋_GB2312" w:eastAsia="仿宋_GB2312"/>
          <w:sz w:val="32"/>
          <w:szCs w:val="32"/>
          <w:lang w:bidi="ar"/>
        </w:rPr>
      </w:pPr>
      <w:r>
        <w:rPr>
          <w:rFonts w:hint="default" w:ascii="仿宋_GB2312" w:hAnsi="仿宋_GB2312" w:eastAsia="仿宋_GB2312"/>
          <w:sz w:val="32"/>
          <w:szCs w:val="32"/>
          <w:lang w:val="en-US" w:eastAsia="zh-CN" w:bidi="ar"/>
        </w:rPr>
        <w:t>3.</w:t>
      </w:r>
      <w:r>
        <w:rPr>
          <w:rFonts w:ascii="仿宋_GB2312" w:hAnsi="仿宋_GB2312" w:eastAsia="仿宋_GB2312" w:cstheme="minorBidi"/>
          <w:i w:val="0"/>
          <w:caps w:val="0"/>
          <w:spacing w:val="0"/>
          <w:kern w:val="2"/>
          <w:sz w:val="32"/>
          <w:szCs w:val="32"/>
          <w:shd w:val="clear"/>
          <w:lang w:val="en-US" w:eastAsia="zh-CN" w:bidi="ar"/>
          <w14:ligatures w14:val="standardContextual"/>
        </w:rPr>
        <w:t>建立统一的风险管控机制，每年对协同方质量管理体系运行情况至少开展一次质量审计，对人员管理、设施设备、计算机系统及贮存、配送等质量保障能力进行风险评估，确保多仓协同全过程质量安全持续可控</w:t>
      </w:r>
      <w:r>
        <w:rPr>
          <w:rFonts w:hint="eastAsia" w:ascii="仿宋_GB2312" w:hAnsi="仿宋_GB2312" w:eastAsia="仿宋_GB2312" w:cstheme="minorBidi"/>
          <w:i w:val="0"/>
          <w:caps w:val="0"/>
          <w:spacing w:val="0"/>
          <w:kern w:val="2"/>
          <w:sz w:val="32"/>
          <w:szCs w:val="32"/>
          <w:shd w:val="clear"/>
          <w:lang w:val="en-US" w:eastAsia="zh-CN" w:bidi="ar"/>
          <w14:ligatures w14:val="standardContextual"/>
        </w:rPr>
        <w:t>。</w:t>
      </w:r>
      <w:r>
        <w:rPr>
          <w:rFonts w:ascii="仿宋_GB2312" w:hAnsi="仿宋_GB2312" w:eastAsia="仿宋_GB2312" w:cstheme="minorBidi"/>
          <w:b w:val="0"/>
          <w:i w:val="0"/>
          <w:caps w:val="0"/>
          <w:spacing w:val="0"/>
          <w:kern w:val="2"/>
          <w:sz w:val="32"/>
          <w:szCs w:val="32"/>
          <w:shd w:val="clear"/>
          <w:lang w:val="en-US" w:eastAsia="zh-CN" w:bidi="ar"/>
          <w14:ligatures w14:val="standardContextual"/>
        </w:rPr>
        <w:t>审计结果应形成书面报告，发现问题应督促协同方限期整改并跟踪验证。</w:t>
      </w:r>
    </w:p>
    <w:p w14:paraId="7770D0A8">
      <w:pPr>
        <w:spacing w:line="560" w:lineRule="exact"/>
        <w:ind w:firstLine="640" w:firstLineChars="200"/>
        <w:rPr>
          <w:rFonts w:ascii="仿宋_GB2312" w:hAnsi="仿宋_GB2312" w:eastAsia="仿宋_GB2312" w:cstheme="minorBidi"/>
          <w:i w:val="0"/>
          <w:caps w:val="0"/>
          <w:spacing w:val="0"/>
          <w:sz w:val="32"/>
          <w:szCs w:val="32"/>
          <w:lang w:bidi="ar"/>
        </w:rPr>
      </w:pPr>
      <w:r>
        <w:rPr>
          <w:rFonts w:hint="default" w:ascii="仿宋_GB2312" w:hAnsi="仿宋_GB2312" w:eastAsia="仿宋_GB2312"/>
          <w:sz w:val="32"/>
          <w:szCs w:val="32"/>
          <w:lang w:bidi="ar"/>
        </w:rPr>
        <w:t>4.</w:t>
      </w:r>
      <w:r>
        <w:rPr>
          <w:rFonts w:ascii="仿宋_GB2312" w:hAnsi="仿宋_GB2312" w:eastAsia="仿宋_GB2312" w:cstheme="minorBidi"/>
          <w:i w:val="0"/>
          <w:caps w:val="0"/>
          <w:spacing w:val="0"/>
          <w:kern w:val="2"/>
          <w:sz w:val="32"/>
          <w:szCs w:val="32"/>
          <w:shd w:val="clear"/>
          <w:lang w:val="en-US" w:eastAsia="zh-CN" w:bidi="ar"/>
          <w14:ligatures w14:val="standardContextual"/>
        </w:rPr>
        <w:t>应将上一年度医疗器械多仓协同经营实施情况，纳入医疗器械经营企业年</w:t>
      </w:r>
      <w:r>
        <w:rPr>
          <w:rFonts w:hint="eastAsia" w:ascii="仿宋_GB2312" w:hAnsi="仿宋_GB2312" w:eastAsia="仿宋_GB2312" w:cstheme="minorBidi"/>
          <w:i w:val="0"/>
          <w:caps w:val="0"/>
          <w:spacing w:val="0"/>
          <w:kern w:val="2"/>
          <w:sz w:val="32"/>
          <w:szCs w:val="32"/>
          <w:shd w:val="clear"/>
          <w:lang w:val="en-US" w:eastAsia="zh-CN" w:bidi="ar"/>
          <w14:ligatures w14:val="standardContextual"/>
        </w:rPr>
        <w:t>度自查</w:t>
      </w:r>
      <w:r>
        <w:rPr>
          <w:rFonts w:ascii="仿宋_GB2312" w:hAnsi="仿宋_GB2312" w:eastAsia="仿宋_GB2312" w:cstheme="minorBidi"/>
          <w:i w:val="0"/>
          <w:caps w:val="0"/>
          <w:spacing w:val="0"/>
          <w:kern w:val="2"/>
          <w:sz w:val="32"/>
          <w:szCs w:val="32"/>
          <w:shd w:val="clear"/>
          <w:lang w:val="en-US" w:eastAsia="zh-CN" w:bidi="ar"/>
          <w14:ligatures w14:val="standardContextual"/>
        </w:rPr>
        <w:t>报</w:t>
      </w:r>
      <w:r>
        <w:rPr>
          <w:rFonts w:hint="eastAsia" w:ascii="仿宋_GB2312" w:hAnsi="仿宋_GB2312" w:eastAsia="仿宋_GB2312" w:cstheme="minorBidi"/>
          <w:i w:val="0"/>
          <w:caps w:val="0"/>
          <w:spacing w:val="0"/>
          <w:kern w:val="2"/>
          <w:sz w:val="32"/>
          <w:szCs w:val="32"/>
          <w:shd w:val="clear"/>
          <w:lang w:val="en-US" w:eastAsia="zh-CN" w:bidi="ar"/>
          <w14:ligatures w14:val="standardContextual"/>
        </w:rPr>
        <w:t>告，</w:t>
      </w:r>
      <w:r>
        <w:rPr>
          <w:rFonts w:ascii="仿宋_GB2312" w:hAnsi="仿宋_GB2312" w:eastAsia="仿宋_GB2312" w:cstheme="minorBidi"/>
          <w:i w:val="0"/>
          <w:caps w:val="0"/>
          <w:spacing w:val="0"/>
          <w:kern w:val="2"/>
          <w:sz w:val="32"/>
          <w:szCs w:val="32"/>
          <w:shd w:val="clear"/>
          <w:lang w:val="en-US" w:eastAsia="zh-CN" w:bidi="ar"/>
          <w14:ligatures w14:val="standardContextual"/>
        </w:rPr>
        <w:t>并按规定向属地市场监督管理部门提交</w:t>
      </w:r>
      <w:r>
        <w:rPr>
          <w:rFonts w:hint="eastAsia" w:ascii="仿宋_GB2312" w:hAnsi="仿宋_GB2312" w:eastAsia="仿宋_GB2312" w:cstheme="minorBidi"/>
          <w:i w:val="0"/>
          <w:caps w:val="0"/>
          <w:spacing w:val="0"/>
          <w:kern w:val="2"/>
          <w:sz w:val="32"/>
          <w:szCs w:val="32"/>
          <w:shd w:val="clear"/>
          <w:lang w:val="en-US" w:eastAsia="zh-CN" w:bidi="ar"/>
          <w14:ligatures w14:val="standardContextual"/>
        </w:rPr>
        <w:t>。</w:t>
      </w:r>
      <w:r>
        <w:rPr>
          <w:rFonts w:hint="default" w:ascii="仿宋_GB2312" w:hAnsi="仿宋_GB2312" w:eastAsia="仿宋_GB2312" w:cstheme="minorBidi"/>
          <w:b w:val="0"/>
          <w:i w:val="0"/>
          <w:caps w:val="0"/>
          <w:spacing w:val="0"/>
          <w:kern w:val="2"/>
          <w:sz w:val="32"/>
          <w:szCs w:val="32"/>
          <w:shd w:val="clear"/>
          <w:lang w:bidi="ar"/>
        </w:rPr>
        <w:t>在发生或可能发生重大质量安全事件时，主体方应第一时间采取停运、召回等控制措施，并向属地监管部门报告。</w:t>
      </w:r>
    </w:p>
    <w:p w14:paraId="3E7E4FBD">
      <w:pPr>
        <w:widowControl/>
        <w:spacing w:line="560" w:lineRule="exact"/>
        <w:ind w:firstLine="0" w:firstLineChars="0"/>
        <w:jc w:val="left"/>
        <w:rPr>
          <w:rFonts w:hint="eastAsia" w:ascii="楷体_GB2312" w:hAnsi="仿宋_GB2312" w:eastAsia="楷体_GB2312" w:cs="仿宋_GB2312"/>
          <w:bCs/>
          <w:color w:val="auto"/>
          <w:sz w:val="36"/>
          <w:szCs w:val="36"/>
          <w:shd w:val="clear" w:color="auto" w:fill="auto"/>
          <w:lang w:bidi="ar"/>
          <w14:ligatures w14:val="none"/>
        </w:rPr>
      </w:pPr>
      <w:r>
        <w:rPr>
          <w:rFonts w:hint="eastAsia" w:ascii="楷体_GB2312" w:hAnsi="仿宋_GB2312" w:eastAsia="楷体_GB2312" w:cs="仿宋_GB2312"/>
          <w:bCs/>
          <w:color w:val="auto"/>
          <w:sz w:val="36"/>
          <w:szCs w:val="36"/>
          <w:shd w:val="clear" w:color="auto" w:fill="auto"/>
          <w:lang w:bidi="ar"/>
          <w14:ligatures w14:val="none"/>
        </w:rPr>
        <w:t>  </w:t>
      </w:r>
      <w:r>
        <w:rPr>
          <w:rFonts w:hint="eastAsia" w:ascii="楷体_GB2312" w:hAnsi="仿宋_GB2312" w:eastAsia="楷体_GB2312" w:cs="仿宋_GB2312"/>
          <w:bCs/>
          <w:color w:val="auto"/>
          <w:sz w:val="36"/>
          <w:szCs w:val="36"/>
          <w:shd w:val="clear" w:color="auto" w:fill="auto"/>
          <w:lang w:eastAsia="zh-CN" w:bidi="ar"/>
          <w14:ligatures w14:val="none"/>
        </w:rPr>
        <w:t>（</w:t>
      </w:r>
      <w:r>
        <w:rPr>
          <w:rFonts w:hint="eastAsia" w:ascii="楷体_GB2312" w:hAnsi="仿宋_GB2312" w:eastAsia="楷体_GB2312" w:cs="仿宋_GB2312"/>
          <w:bCs/>
          <w:color w:val="auto"/>
          <w:sz w:val="32"/>
          <w:szCs w:val="32"/>
          <w:shd w:val="clear" w:color="auto" w:fill="auto"/>
          <w:lang w:bidi="ar"/>
          <w14:ligatures w14:val="none"/>
        </w:rPr>
        <w:t>二</w:t>
      </w:r>
      <w:r>
        <w:rPr>
          <w:rFonts w:hint="eastAsia" w:ascii="楷体_GB2312" w:hAnsi="仿宋_GB2312" w:eastAsia="楷体_GB2312" w:cs="仿宋_GB2312"/>
          <w:bCs/>
          <w:color w:val="auto"/>
          <w:sz w:val="32"/>
          <w:szCs w:val="32"/>
          <w:shd w:val="clear" w:color="auto" w:fill="auto"/>
          <w:lang w:eastAsia="zh-CN" w:bidi="ar"/>
          <w14:ligatures w14:val="none"/>
        </w:rPr>
        <w:t>）</w:t>
      </w:r>
      <w:r>
        <w:rPr>
          <w:rFonts w:hint="eastAsia" w:ascii="楷体_GB2312" w:hAnsi="仿宋_GB2312" w:eastAsia="楷体_GB2312" w:cs="仿宋_GB2312"/>
          <w:bCs/>
          <w:color w:val="auto"/>
          <w:sz w:val="32"/>
          <w:szCs w:val="32"/>
          <w:shd w:val="clear" w:color="auto" w:fill="auto"/>
          <w:lang w:bidi="ar"/>
          <w14:ligatures w14:val="none"/>
        </w:rPr>
        <w:t>协同方责任</w:t>
      </w:r>
    </w:p>
    <w:p w14:paraId="05856EAD">
      <w:pPr>
        <w:widowControl/>
        <w:spacing w:line="560" w:lineRule="exact"/>
        <w:jc w:val="left"/>
        <w:rPr>
          <w:rFonts w:hint="eastAsia" w:ascii="仿宋_GB2312" w:hAnsi="仿宋_GB2312" w:eastAsia="仿宋_GB2312"/>
          <w:sz w:val="32"/>
          <w:szCs w:val="32"/>
        </w:rPr>
      </w:pPr>
      <w:r>
        <w:rPr>
          <w:rFonts w:ascii="仿宋_GB2312" w:hAnsi="仿宋_GB2312" w:eastAsia="仿宋_GB2312"/>
          <w:sz w:val="32"/>
          <w:szCs w:val="32"/>
        </w:rPr>
        <w:t>  协同方执行多仓协同业务，</w:t>
      </w:r>
      <w:r>
        <w:rPr>
          <w:rFonts w:ascii="仿宋_GB2312" w:hAnsi="仿宋_GB2312" w:eastAsia="仿宋_GB2312" w:cstheme="minorBidi"/>
          <w:b w:val="0"/>
          <w:i w:val="0"/>
          <w:caps w:val="0"/>
          <w:spacing w:val="0"/>
          <w:kern w:val="2"/>
          <w:sz w:val="32"/>
          <w:szCs w:val="32"/>
          <w:shd w:val="clear"/>
          <w:lang w:val="en-US" w:eastAsia="zh-CN" w:bidi="ar"/>
          <w14:ligatures w14:val="standardContextual"/>
        </w:rPr>
        <w:t>对自身承担的储运环节质量安全承担直接责任</w:t>
      </w:r>
      <w:r>
        <w:rPr>
          <w:rFonts w:hint="default" w:ascii="仿宋_GB2312" w:hAnsi="仿宋_GB2312" w:eastAsia="仿宋_GB2312" w:cstheme="minorBidi"/>
          <w:i w:val="0"/>
          <w:caps w:val="0"/>
          <w:spacing w:val="0"/>
          <w:kern w:val="2"/>
          <w:sz w:val="32"/>
          <w:szCs w:val="32"/>
          <w:shd w:val="clear"/>
          <w:lang w:val="en-US" w:eastAsia="zh-CN" w:bidi="ar"/>
          <w14:ligatures w14:val="standardContextual"/>
        </w:rPr>
        <w:t>，</w:t>
      </w:r>
      <w:r>
        <w:rPr>
          <w:rFonts w:ascii="仿宋_GB2312" w:hAnsi="仿宋_GB2312" w:eastAsia="仿宋_GB2312"/>
          <w:sz w:val="32"/>
          <w:szCs w:val="32"/>
        </w:rPr>
        <w:t>并履行以下职责</w:t>
      </w:r>
      <w:r>
        <w:rPr>
          <w:rFonts w:hint="eastAsia" w:ascii="仿宋_GB2312" w:hAnsi="仿宋_GB2312" w:eastAsia="仿宋_GB2312"/>
          <w:sz w:val="32"/>
          <w:szCs w:val="32"/>
          <w:lang w:eastAsia="zh-CN"/>
        </w:rPr>
        <w:t>：</w:t>
      </w:r>
    </w:p>
    <w:p w14:paraId="6C6DEA9C">
      <w:pPr>
        <w:keepNext w:val="0"/>
        <w:keepLines w:val="0"/>
        <w:widowControl/>
        <w:suppressLineNumbers w:val="0"/>
        <w:spacing w:line="560" w:lineRule="exact"/>
        <w:ind w:firstLine="640" w:firstLineChars="200"/>
        <w:jc w:val="left"/>
        <w:rPr>
          <w:rFonts w:ascii="仿宋_GB2312" w:hAnsi="仿宋_GB2312" w:eastAsia="仿宋_GB2312"/>
          <w:sz w:val="32"/>
          <w:szCs w:val="32"/>
          <w:lang w:bidi="ar"/>
        </w:rPr>
      </w:pPr>
      <w:r>
        <w:rPr>
          <w:rFonts w:ascii="仿宋_GB2312" w:hAnsi="仿宋_GB2312" w:eastAsia="仿宋_GB2312"/>
          <w:sz w:val="32"/>
          <w:szCs w:val="32"/>
        </w:rPr>
        <w:t>1.</w:t>
      </w:r>
      <w:r>
        <w:rPr>
          <w:rFonts w:ascii="仿宋_GB2312" w:hAnsi="仿宋_GB2312" w:eastAsia="仿宋_GB2312" w:cstheme="minorBidi"/>
          <w:i w:val="0"/>
          <w:caps w:val="0"/>
          <w:spacing w:val="0"/>
          <w:kern w:val="2"/>
          <w:sz w:val="32"/>
          <w:szCs w:val="32"/>
          <w:shd w:val="clear"/>
          <w:lang w:val="en-US" w:eastAsia="zh-CN" w:bidi="ar"/>
          <w14:ligatures w14:val="standardContextual"/>
        </w:rPr>
        <w:t>配备与多仓协同经营范围和经营规模相适应的质量管理机构及质量管理人员，制订并落实多仓协同各项制度文件要求，确保产品质量安全</w:t>
      </w:r>
      <w:r>
        <w:rPr>
          <w:rFonts w:hint="default" w:ascii="仿宋_GB2312" w:hAnsi="仿宋_GB2312" w:eastAsia="仿宋_GB2312" w:cstheme="minorBidi"/>
          <w:i w:val="0"/>
          <w:caps w:val="0"/>
          <w:spacing w:val="0"/>
          <w:kern w:val="2"/>
          <w:sz w:val="32"/>
          <w:szCs w:val="32"/>
          <w:shd w:val="clear"/>
          <w:lang w:val="en-US" w:eastAsia="zh-CN" w:bidi="ar"/>
          <w14:ligatures w14:val="standardContextual"/>
        </w:rPr>
        <w:t>。</w:t>
      </w:r>
      <w:r>
        <w:rPr>
          <w:rFonts w:ascii="仿宋_GB2312" w:hAnsi="仿宋_GB2312" w:eastAsia="仿宋_GB2312" w:cstheme="minorBidi"/>
          <w:b w:val="0"/>
          <w:i w:val="0"/>
          <w:caps w:val="0"/>
          <w:spacing w:val="0"/>
          <w:kern w:val="2"/>
          <w:sz w:val="32"/>
          <w:szCs w:val="32"/>
          <w:shd w:val="clear"/>
          <w:lang w:val="en-US" w:eastAsia="zh-CN" w:bidi="ar"/>
          <w14:ligatures w14:val="standardContextual"/>
        </w:rPr>
        <w:t>协同方不得将多仓协同涉及的储存业务转委托给第三方</w:t>
      </w:r>
      <w:r>
        <w:rPr>
          <w:rFonts w:hint="eastAsia" w:ascii="仿宋_GB2312" w:hAnsi="仿宋_GB2312" w:eastAsia="仿宋_GB2312" w:cstheme="minorBidi"/>
          <w:b w:val="0"/>
          <w:i w:val="0"/>
          <w:caps w:val="0"/>
          <w:spacing w:val="0"/>
          <w:kern w:val="2"/>
          <w:sz w:val="32"/>
          <w:szCs w:val="32"/>
          <w:shd w:val="clear"/>
          <w:lang w:val="en-US" w:eastAsia="zh-CN" w:bidi="ar"/>
          <w14:ligatures w14:val="standardContextual"/>
        </w:rPr>
        <w:t>。</w:t>
      </w:r>
    </w:p>
    <w:p w14:paraId="10B5DE1D">
      <w:pPr>
        <w:keepNext w:val="0"/>
        <w:keepLines w:val="0"/>
        <w:widowControl/>
        <w:suppressLineNumbers w:val="0"/>
        <w:spacing w:line="560" w:lineRule="exact"/>
        <w:ind w:firstLine="640" w:firstLineChars="200"/>
        <w:jc w:val="left"/>
        <w:rPr>
          <w:rFonts w:ascii="仿宋_GB2312" w:hAnsi="仿宋_GB2312" w:eastAsia="仿宋_GB2312"/>
          <w:sz w:val="32"/>
          <w:szCs w:val="32"/>
        </w:rPr>
      </w:pPr>
      <w:r>
        <w:rPr>
          <w:rFonts w:ascii="仿宋_GB2312" w:hAnsi="仿宋_GB2312" w:eastAsia="仿宋_GB2312"/>
          <w:sz w:val="32"/>
          <w:szCs w:val="32"/>
        </w:rPr>
        <w:t>2.</w:t>
      </w:r>
      <w:r>
        <w:rPr>
          <w:rFonts w:ascii="仿宋_GB2312" w:hAnsi="仿宋_GB2312" w:eastAsia="仿宋_GB2312" w:cstheme="minorBidi"/>
          <w:i w:val="0"/>
          <w:caps w:val="0"/>
          <w:spacing w:val="0"/>
          <w:kern w:val="2"/>
          <w:sz w:val="32"/>
          <w:szCs w:val="32"/>
          <w:shd w:val="clear"/>
          <w:lang w:val="en-US" w:eastAsia="zh-CN" w:bidi="ar"/>
          <w14:ligatures w14:val="standardContextual"/>
        </w:rPr>
        <w:t>使用或对接主体方计算机信息系统，实现收货、查验、入库、贮存、出库、运输、退回、召回等各</w:t>
      </w:r>
      <w:r>
        <w:rPr>
          <w:rFonts w:hint="eastAsia" w:ascii="仿宋_GB2312" w:hAnsi="仿宋_GB2312" w:eastAsia="仿宋_GB2312" w:cstheme="minorBidi"/>
          <w:i w:val="0"/>
          <w:caps w:val="0"/>
          <w:spacing w:val="0"/>
          <w:kern w:val="2"/>
          <w:sz w:val="32"/>
          <w:szCs w:val="32"/>
          <w:shd w:val="clear"/>
          <w:lang w:val="en-US" w:eastAsia="zh-CN" w:bidi="ar"/>
          <w14:ligatures w14:val="standardContextual"/>
        </w:rPr>
        <w:t>环节</w:t>
      </w:r>
      <w:r>
        <w:rPr>
          <w:rFonts w:ascii="仿宋_GB2312" w:hAnsi="仿宋_GB2312" w:eastAsia="仿宋_GB2312" w:cstheme="minorBidi"/>
          <w:i w:val="0"/>
          <w:caps w:val="0"/>
          <w:spacing w:val="0"/>
          <w:kern w:val="2"/>
          <w:sz w:val="32"/>
          <w:szCs w:val="32"/>
          <w:shd w:val="clear"/>
          <w:lang w:val="en-US" w:eastAsia="zh-CN" w:bidi="ar"/>
          <w14:ligatures w14:val="standardContextual"/>
        </w:rPr>
        <w:t>追溯数据</w:t>
      </w:r>
      <w:r>
        <w:rPr>
          <w:rFonts w:hint="eastAsia" w:ascii="仿宋_GB2312" w:hAnsi="仿宋_GB2312" w:eastAsia="仿宋_GB2312" w:cstheme="minorBidi"/>
          <w:i w:val="0"/>
          <w:caps w:val="0"/>
          <w:spacing w:val="0"/>
          <w:kern w:val="2"/>
          <w:sz w:val="32"/>
          <w:szCs w:val="32"/>
          <w:shd w:val="clear"/>
          <w:lang w:val="en-US" w:eastAsia="zh-CN" w:bidi="ar"/>
          <w14:ligatures w14:val="standardContextual"/>
        </w:rPr>
        <w:t>和温湿度监测系统数据</w:t>
      </w:r>
      <w:r>
        <w:rPr>
          <w:rFonts w:ascii="仿宋_GB2312" w:hAnsi="仿宋_GB2312" w:eastAsia="仿宋_GB2312" w:cstheme="minorBidi"/>
          <w:i w:val="0"/>
          <w:caps w:val="0"/>
          <w:spacing w:val="0"/>
          <w:kern w:val="2"/>
          <w:sz w:val="32"/>
          <w:szCs w:val="32"/>
          <w:shd w:val="clear"/>
          <w:lang w:val="en-US" w:eastAsia="zh-CN" w:bidi="ar"/>
          <w14:ligatures w14:val="standardContextual"/>
        </w:rPr>
        <w:t>的实时交互传输，数据应确保真实、完整、准确</w:t>
      </w:r>
      <w:r>
        <w:rPr>
          <w:rFonts w:hint="eastAsia" w:ascii="仿宋_GB2312" w:hAnsi="仿宋_GB2312" w:eastAsia="仿宋_GB2312" w:cstheme="minorBidi"/>
          <w:i w:val="0"/>
          <w:caps w:val="0"/>
          <w:spacing w:val="0"/>
          <w:kern w:val="2"/>
          <w:sz w:val="32"/>
          <w:szCs w:val="32"/>
          <w:shd w:val="clear"/>
          <w:lang w:val="en-US" w:eastAsia="zh-CN" w:bidi="ar"/>
          <w14:ligatures w14:val="standardContextual"/>
        </w:rPr>
        <w:t>。</w:t>
      </w:r>
      <w:r>
        <w:rPr>
          <w:rFonts w:hint="default" w:ascii="仿宋_GB2312" w:hAnsi="仿宋_GB2312" w:eastAsia="仿宋_GB2312" w:cstheme="minorBidi"/>
          <w:i w:val="0"/>
          <w:caps w:val="0"/>
          <w:spacing w:val="0"/>
          <w:kern w:val="2"/>
          <w:sz w:val="32"/>
          <w:szCs w:val="32"/>
          <w:shd w:val="clear"/>
          <w:lang w:val="en-US" w:eastAsia="zh-CN" w:bidi="ar"/>
          <w14:ligatures w14:val="standardContextual"/>
        </w:rPr>
        <w:t>按照主体方要求在协同经营活动中积极应用医疗器械唯一标识，承担医疗器械储运过程质量管理责任。</w:t>
      </w:r>
    </w:p>
    <w:p w14:paraId="171E9E73">
      <w:pPr>
        <w:keepNext w:val="0"/>
        <w:keepLines w:val="0"/>
        <w:widowControl/>
        <w:suppressLineNumbers w:val="0"/>
        <w:spacing w:line="560" w:lineRule="exact"/>
        <w:ind w:firstLine="640" w:firstLineChars="200"/>
        <w:jc w:val="left"/>
      </w:pPr>
      <w:r>
        <w:rPr>
          <w:rFonts w:ascii="仿宋_GB2312" w:hAnsi="仿宋_GB2312" w:eastAsia="仿宋_GB2312"/>
          <w:sz w:val="32"/>
          <w:szCs w:val="32"/>
        </w:rPr>
        <w:t>3.配合主体方的质量审计评估，每年对多仓协同业务进行自查，</w:t>
      </w:r>
      <w:r>
        <w:rPr>
          <w:rFonts w:ascii="仿宋_GB2312" w:hAnsi="仿宋_GB2312" w:eastAsia="仿宋_GB2312" w:cstheme="minorBidi"/>
          <w:i w:val="0"/>
          <w:caps w:val="0"/>
          <w:spacing w:val="0"/>
          <w:kern w:val="2"/>
          <w:sz w:val="32"/>
          <w:szCs w:val="32"/>
          <w:shd w:val="clear"/>
          <w:lang w:val="en-US" w:eastAsia="zh-CN" w:bidi="ar"/>
          <w14:ligatures w14:val="standardContextual"/>
        </w:rPr>
        <w:t>持续改进质量管理体系。</w:t>
      </w:r>
      <w:r>
        <w:rPr>
          <w:rFonts w:ascii="仿宋_GB2312" w:hAnsi="仿宋_GB2312" w:eastAsia="仿宋_GB2312" w:cstheme="minorBidi"/>
          <w:b w:val="0"/>
          <w:i w:val="0"/>
          <w:caps w:val="0"/>
          <w:spacing w:val="0"/>
          <w:kern w:val="2"/>
          <w:sz w:val="32"/>
          <w:szCs w:val="32"/>
          <w:shd w:val="clear"/>
          <w:lang w:val="en-US" w:eastAsia="zh-CN" w:bidi="ar"/>
          <w14:ligatures w14:val="standardContextual"/>
        </w:rPr>
        <w:t>对审计中发现的不符合项，应制定整改措施并按时完成整改。</w:t>
      </w:r>
      <w:r>
        <w:rPr>
          <w:rFonts w:hint="eastAsia" w:ascii="仿宋_GB2312" w:hAnsi="仿宋_GB2312" w:eastAsia="仿宋_GB2312" w:cstheme="minorBidi"/>
          <w:b w:val="0"/>
          <w:i w:val="0"/>
          <w:caps w:val="0"/>
          <w:spacing w:val="0"/>
          <w:kern w:val="2"/>
          <w:sz w:val="32"/>
          <w:szCs w:val="32"/>
          <w:shd w:val="clear"/>
          <w:lang w:val="en-US" w:eastAsia="zh-CN" w:bidi="ar"/>
          <w14:ligatures w14:val="standardContextual"/>
        </w:rPr>
        <w:t>关</w:t>
      </w:r>
      <w:r>
        <w:rPr>
          <w:rFonts w:ascii="仿宋_GB2312" w:hAnsi="仿宋_GB2312" w:eastAsia="仿宋_GB2312" w:cstheme="minorBidi"/>
          <w:b w:val="0"/>
          <w:i w:val="0"/>
          <w:caps w:val="0"/>
          <w:spacing w:val="0"/>
          <w:kern w:val="2"/>
          <w:sz w:val="32"/>
          <w:szCs w:val="32"/>
          <w:shd w:val="clear"/>
          <w:lang w:val="en-US" w:eastAsia="zh-CN" w:bidi="ar"/>
          <w14:ligatures w14:val="standardContextual"/>
        </w:rPr>
        <w:t>键</w:t>
      </w:r>
      <w:r>
        <w:rPr>
          <w:rFonts w:hint="eastAsia" w:ascii="仿宋_GB2312" w:hAnsi="仿宋_GB2312" w:eastAsia="仿宋_GB2312" w:cstheme="minorBidi"/>
          <w:b w:val="0"/>
          <w:i w:val="0"/>
          <w:caps w:val="0"/>
          <w:spacing w:val="0"/>
          <w:kern w:val="2"/>
          <w:sz w:val="32"/>
          <w:szCs w:val="32"/>
          <w:shd w:val="clear"/>
          <w:lang w:val="en-US" w:eastAsia="zh-CN" w:bidi="ar"/>
          <w14:ligatures w14:val="standardContextual"/>
        </w:rPr>
        <w:t>质量环节发生</w:t>
      </w:r>
      <w:r>
        <w:rPr>
          <w:rFonts w:ascii="仿宋_GB2312" w:hAnsi="仿宋_GB2312" w:eastAsia="仿宋_GB2312" w:cstheme="minorBidi"/>
          <w:b w:val="0"/>
          <w:i w:val="0"/>
          <w:caps w:val="0"/>
          <w:spacing w:val="0"/>
          <w:kern w:val="2"/>
          <w:sz w:val="32"/>
          <w:szCs w:val="32"/>
          <w:shd w:val="clear"/>
          <w:lang w:val="en-US" w:eastAsia="zh-CN" w:bidi="ar"/>
          <w14:ligatures w14:val="standardContextual"/>
        </w:rPr>
        <w:t>变更的，应提前向主体方报备</w:t>
      </w:r>
      <w:r>
        <w:rPr>
          <w:rFonts w:hint="eastAsia" w:ascii="仿宋_GB2312" w:hAnsi="仿宋_GB2312" w:eastAsia="仿宋_GB2312" w:cstheme="minorBidi"/>
          <w:b w:val="0"/>
          <w:i w:val="0"/>
          <w:caps w:val="0"/>
          <w:spacing w:val="0"/>
          <w:kern w:val="2"/>
          <w:sz w:val="32"/>
          <w:szCs w:val="32"/>
          <w:shd w:val="clear"/>
          <w:lang w:val="en-US" w:eastAsia="zh-CN" w:bidi="ar"/>
          <w14:ligatures w14:val="standardContextual"/>
        </w:rPr>
        <w:t>。</w:t>
      </w:r>
    </w:p>
    <w:p w14:paraId="63D5A27B">
      <w:pPr>
        <w:keepNext w:val="0"/>
        <w:keepLines w:val="0"/>
        <w:widowControl/>
        <w:suppressLineNumbers w:val="0"/>
        <w:spacing w:line="560" w:lineRule="exact"/>
        <w:ind w:firstLine="640" w:firstLineChars="200"/>
        <w:jc w:val="left"/>
        <w:rPr>
          <w:rFonts w:ascii="仿宋_GB2312" w:hAnsi="仿宋_GB2312" w:eastAsia="仿宋_GB2312"/>
          <w:sz w:val="32"/>
          <w:szCs w:val="32"/>
          <w:lang w:bidi="ar"/>
        </w:rPr>
      </w:pPr>
      <w:r>
        <w:rPr>
          <w:rFonts w:hint="eastAsia" w:ascii="仿宋_GB2312" w:hAnsi="仿宋_GB2312" w:eastAsia="仿宋_GB2312" w:cstheme="minorBidi"/>
          <w:i w:val="0"/>
          <w:caps w:val="0"/>
          <w:spacing w:val="0"/>
          <w:kern w:val="2"/>
          <w:sz w:val="32"/>
          <w:szCs w:val="32"/>
          <w:shd w:val="clear"/>
          <w:lang w:val="en-US" w:eastAsia="zh-CN" w:bidi="ar"/>
          <w14:ligatures w14:val="standardContextual"/>
        </w:rPr>
        <w:t>4.</w:t>
      </w:r>
      <w:r>
        <w:rPr>
          <w:rFonts w:ascii="仿宋_GB2312" w:hAnsi="仿宋_GB2312" w:eastAsia="仿宋_GB2312" w:cstheme="minorBidi"/>
          <w:b w:val="0"/>
          <w:i w:val="0"/>
          <w:caps w:val="0"/>
          <w:spacing w:val="0"/>
          <w:kern w:val="2"/>
          <w:sz w:val="32"/>
          <w:szCs w:val="32"/>
          <w:shd w:val="clear"/>
          <w:lang w:val="en-US" w:eastAsia="zh-CN" w:bidi="ar"/>
          <w14:ligatures w14:val="standardContextual"/>
        </w:rPr>
        <w:t>建立协同过程风险排查机制，定期排查风险点，发现质量安全隐患应及时向主体方报告并采取有效防控措施。</w:t>
      </w:r>
    </w:p>
    <w:p w14:paraId="0581210B">
      <w:pPr>
        <w:spacing w:line="560" w:lineRule="exact"/>
        <w:rPr>
          <w:rFonts w:hint="eastAsia" w:ascii="黑体" w:hAnsi="黑体" w:eastAsia="黑体"/>
          <w:sz w:val="32"/>
          <w:szCs w:val="32"/>
        </w:rPr>
      </w:pPr>
      <w:r>
        <w:rPr>
          <w:rFonts w:ascii="黑体" w:hAnsi="黑体" w:eastAsia="黑体"/>
          <w:sz w:val="32"/>
          <w:szCs w:val="32"/>
        </w:rPr>
        <w:t>  四、监督管理</w:t>
      </w:r>
    </w:p>
    <w:p w14:paraId="4978B4D8">
      <w:pPr>
        <w:spacing w:line="560" w:lineRule="exact"/>
        <w:rPr>
          <w:rFonts w:hint="eastAsia" w:ascii="仿宋_GB2312" w:hAnsi="仿宋_GB2312" w:eastAsia="仿宋_GB2312"/>
          <w:sz w:val="32"/>
          <w:szCs w:val="32"/>
        </w:rPr>
      </w:pPr>
      <w:r>
        <w:rPr>
          <w:rFonts w:ascii="仿宋_GB2312" w:hAnsi="仿宋_GB2312" w:eastAsia="仿宋_GB2312"/>
          <w:sz w:val="32"/>
          <w:szCs w:val="32"/>
        </w:rPr>
        <w:t>  </w:t>
      </w:r>
      <w:r>
        <w:rPr>
          <w:rFonts w:hint="eastAsia" w:ascii="仿宋_GB2312" w:hAnsi="仿宋_GB2312" w:eastAsia="仿宋_GB2312"/>
          <w:sz w:val="32"/>
          <w:szCs w:val="32"/>
          <w:lang w:eastAsia="zh-CN"/>
        </w:rPr>
        <w:t>（</w:t>
      </w:r>
      <w:r>
        <w:rPr>
          <w:rFonts w:hint="eastAsia" w:ascii="楷体_GB2312" w:hAnsi="仿宋_GB2312" w:eastAsia="楷体_GB2312" w:cs="仿宋_GB2312"/>
          <w:bCs/>
          <w:color w:val="auto"/>
          <w:sz w:val="32"/>
          <w:szCs w:val="32"/>
          <w:shd w:val="clear" w:color="auto" w:fill="auto"/>
          <w:lang w:bidi="ar"/>
          <w14:ligatures w14:val="none"/>
        </w:rPr>
        <w:t>一</w:t>
      </w:r>
      <w:r>
        <w:rPr>
          <w:rFonts w:hint="eastAsia" w:ascii="楷体_GB2312" w:hAnsi="仿宋_GB2312" w:eastAsia="楷体_GB2312" w:cs="仿宋_GB2312"/>
          <w:bCs/>
          <w:color w:val="auto"/>
          <w:sz w:val="32"/>
          <w:szCs w:val="32"/>
          <w:shd w:val="clear" w:color="auto" w:fill="auto"/>
          <w:lang w:eastAsia="zh-CN" w:bidi="ar"/>
          <w14:ligatures w14:val="none"/>
        </w:rPr>
        <w:t>）</w:t>
      </w:r>
      <w:r>
        <w:rPr>
          <w:rFonts w:hint="eastAsia" w:ascii="楷体_GB2312" w:hAnsi="仿宋_GB2312" w:eastAsia="楷体_GB2312" w:cs="仿宋_GB2312"/>
          <w:bCs/>
          <w:color w:val="auto"/>
          <w:sz w:val="32"/>
          <w:szCs w:val="32"/>
          <w:shd w:val="clear" w:color="auto" w:fill="auto"/>
          <w:lang w:bidi="ar"/>
          <w14:ligatures w14:val="none"/>
        </w:rPr>
        <w:t>总体要求</w:t>
      </w:r>
    </w:p>
    <w:p w14:paraId="3D15F3CF">
      <w:pPr>
        <w:widowControl/>
        <w:spacing w:line="560" w:lineRule="exact"/>
        <w:jc w:val="left"/>
        <w:rPr>
          <w:rFonts w:hint="eastAsia" w:ascii="仿宋_GB2312" w:hAnsi="仿宋_GB2312" w:eastAsia="仿宋_GB2312"/>
          <w:sz w:val="32"/>
          <w:szCs w:val="32"/>
        </w:rPr>
      </w:pPr>
      <w:r>
        <w:rPr>
          <w:rFonts w:ascii="仿宋_GB2312" w:hAnsi="仿宋_GB2312" w:eastAsia="仿宋_GB2312"/>
          <w:sz w:val="32"/>
          <w:szCs w:val="32"/>
        </w:rPr>
        <w:t>  坚持“四个最严”根本要求，树立风险管理理念，构建覆盖多仓协同全过程、全链条的监管体系。将多仓协同经营企业纳入重点监管范围，对监督检查中发现的风险隐患，应当依法采取告诫、约谈、限期整改等措施，并跟踪整改落实情况。对拒不整改、整改不到位或存在重大质量风险隐患的，应当暂停或终止其多仓协同业务。发现违法违规行为的，应当依法依规严肃处理。</w:t>
      </w:r>
    </w:p>
    <w:p w14:paraId="5240ED4A">
      <w:pPr>
        <w:spacing w:line="560" w:lineRule="exact"/>
        <w:rPr>
          <w:rFonts w:hint="eastAsia" w:ascii="仿宋_GB2312" w:hAnsi="仿宋_GB2312" w:eastAsia="仿宋_GB2312"/>
          <w:sz w:val="32"/>
          <w:szCs w:val="32"/>
        </w:rPr>
      </w:pPr>
      <w:r>
        <w:rPr>
          <w:rFonts w:ascii="仿宋_GB2312" w:hAnsi="仿宋_GB2312" w:eastAsia="仿宋_GB2312"/>
          <w:sz w:val="32"/>
          <w:szCs w:val="32"/>
        </w:rPr>
        <w:t> </w:t>
      </w:r>
      <w:r>
        <w:rPr>
          <w:rFonts w:hint="eastAsia" w:ascii="楷体_GB2312" w:hAnsi="仿宋_GB2312" w:eastAsia="楷体_GB2312" w:cs="仿宋_GB2312"/>
          <w:bCs/>
          <w:color w:val="auto"/>
          <w:sz w:val="36"/>
          <w:szCs w:val="36"/>
          <w:shd w:val="clear" w:color="auto" w:fill="auto"/>
          <w:lang w:bidi="ar"/>
          <w14:ligatures w14:val="none"/>
        </w:rPr>
        <w:t> </w:t>
      </w:r>
      <w:r>
        <w:rPr>
          <w:rFonts w:hint="eastAsia" w:ascii="楷体_GB2312" w:hAnsi="仿宋_GB2312" w:eastAsia="楷体_GB2312" w:cs="仿宋_GB2312"/>
          <w:bCs/>
          <w:color w:val="auto"/>
          <w:sz w:val="36"/>
          <w:szCs w:val="36"/>
          <w:shd w:val="clear" w:color="auto" w:fill="auto"/>
          <w:lang w:eastAsia="zh-CN" w:bidi="ar"/>
          <w14:ligatures w14:val="none"/>
        </w:rPr>
        <w:t>（</w:t>
      </w:r>
      <w:r>
        <w:rPr>
          <w:rFonts w:hint="eastAsia" w:ascii="楷体_GB2312" w:hAnsi="仿宋_GB2312" w:eastAsia="楷体_GB2312" w:cs="仿宋_GB2312"/>
          <w:bCs/>
          <w:color w:val="auto"/>
          <w:sz w:val="32"/>
          <w:szCs w:val="32"/>
          <w:shd w:val="clear" w:color="auto" w:fill="auto"/>
          <w:lang w:bidi="ar"/>
          <w14:ligatures w14:val="none"/>
        </w:rPr>
        <w:t>二</w:t>
      </w:r>
      <w:r>
        <w:rPr>
          <w:rFonts w:hint="eastAsia" w:ascii="楷体_GB2312" w:hAnsi="仿宋_GB2312" w:eastAsia="楷体_GB2312" w:cs="仿宋_GB2312"/>
          <w:bCs/>
          <w:color w:val="auto"/>
          <w:sz w:val="32"/>
          <w:szCs w:val="32"/>
          <w:shd w:val="clear" w:color="auto" w:fill="auto"/>
          <w:lang w:eastAsia="zh-CN" w:bidi="ar"/>
          <w14:ligatures w14:val="none"/>
        </w:rPr>
        <w:t>）</w:t>
      </w:r>
      <w:r>
        <w:rPr>
          <w:rFonts w:hint="eastAsia" w:ascii="楷体_GB2312" w:hAnsi="仿宋_GB2312" w:eastAsia="楷体_GB2312" w:cs="仿宋_GB2312"/>
          <w:bCs/>
          <w:color w:val="auto"/>
          <w:sz w:val="32"/>
          <w:szCs w:val="32"/>
          <w:shd w:val="clear" w:color="auto" w:fill="auto"/>
          <w:lang w:bidi="ar"/>
          <w14:ligatures w14:val="none"/>
        </w:rPr>
        <w:t>区域联动</w:t>
      </w:r>
    </w:p>
    <w:p w14:paraId="74C1A32A">
      <w:pPr>
        <w:keepNext w:val="0"/>
        <w:keepLines w:val="0"/>
        <w:widowControl/>
        <w:suppressLineNumbers w:val="0"/>
        <w:spacing w:line="560" w:lineRule="exact"/>
        <w:jc w:val="left"/>
      </w:pPr>
      <w:r>
        <w:rPr>
          <w:rFonts w:ascii="仿宋_GB2312" w:hAnsi="仿宋_GB2312" w:eastAsia="仿宋_GB2312"/>
          <w:sz w:val="32"/>
          <w:szCs w:val="32"/>
        </w:rPr>
        <w:t>  医疗器械</w:t>
      </w:r>
      <w:r>
        <w:rPr>
          <w:rFonts w:hint="eastAsia" w:ascii="仿宋_GB2312" w:hAnsi="仿宋_GB2312" w:eastAsia="仿宋_GB2312"/>
          <w:sz w:val="32"/>
          <w:szCs w:val="32"/>
          <w:lang w:eastAsia="zh-CN"/>
        </w:rPr>
        <w:t>批发</w:t>
      </w:r>
      <w:r>
        <w:rPr>
          <w:rFonts w:hint="default" w:ascii="仿宋_GB2312" w:hAnsi="仿宋_GB2312" w:eastAsia="仿宋_GB2312"/>
          <w:sz w:val="32"/>
          <w:szCs w:val="32"/>
          <w:lang w:eastAsia="zh-CN"/>
        </w:rPr>
        <w:t>企业跨行政区域开展</w:t>
      </w:r>
      <w:r>
        <w:rPr>
          <w:rFonts w:ascii="仿宋_GB2312" w:hAnsi="仿宋_GB2312" w:eastAsia="仿宋_GB2312"/>
          <w:sz w:val="32"/>
          <w:szCs w:val="32"/>
        </w:rPr>
        <w:t>多仓协同</w:t>
      </w:r>
      <w:r>
        <w:rPr>
          <w:rFonts w:hint="default" w:ascii="仿宋_GB2312" w:hAnsi="仿宋_GB2312" w:eastAsia="仿宋_GB2312"/>
          <w:sz w:val="32"/>
          <w:szCs w:val="32"/>
          <w:lang w:eastAsia="zh-CN"/>
        </w:rPr>
        <w:t>业务的</w:t>
      </w:r>
      <w:r>
        <w:rPr>
          <w:rFonts w:hint="default" w:ascii="仿宋_GB2312" w:hAnsi="仿宋_GB2312" w:eastAsia="仿宋_GB2312"/>
          <w:sz w:val="32"/>
          <w:szCs w:val="32"/>
          <w:highlight w:val="none"/>
          <w:lang w:eastAsia="zh-CN"/>
        </w:rPr>
        <w:t>监督管理</w:t>
      </w:r>
      <w:r>
        <w:rPr>
          <w:rFonts w:hint="eastAsia" w:ascii="仿宋_GB2312" w:hAnsi="仿宋_GB2312" w:eastAsia="仿宋_GB2312"/>
          <w:sz w:val="32"/>
          <w:szCs w:val="32"/>
          <w:highlight w:val="none"/>
          <w:lang w:eastAsia="zh-CN"/>
        </w:rPr>
        <w:t>与执法</w:t>
      </w:r>
      <w:r>
        <w:rPr>
          <w:rFonts w:ascii="仿宋_GB2312" w:hAnsi="仿宋_GB2312" w:eastAsia="仿宋_GB2312"/>
          <w:sz w:val="32"/>
          <w:szCs w:val="32"/>
          <w:highlight w:val="none"/>
        </w:rPr>
        <w:t>，</w:t>
      </w:r>
      <w:r>
        <w:rPr>
          <w:rFonts w:hint="default" w:ascii="仿宋_GB2312" w:hAnsi="仿宋_GB2312" w:eastAsia="仿宋_GB2312" w:cstheme="minorBidi"/>
          <w:i w:val="0"/>
          <w:caps w:val="0"/>
          <w:spacing w:val="0"/>
          <w:kern w:val="2"/>
          <w:sz w:val="32"/>
          <w:szCs w:val="32"/>
          <w:highlight w:val="none"/>
          <w:vertAlign w:val="baseline"/>
          <w:lang w:val="en-US" w:eastAsia="zh-CN" w:bidi="ar"/>
          <w14:ligatures w14:val="standardContextual"/>
        </w:rPr>
        <w:t>按照属地管理原则，</w:t>
      </w:r>
      <w:r>
        <w:rPr>
          <w:rFonts w:hint="default" w:ascii="仿宋_GB2312" w:hAnsi="仿宋_GB2312" w:eastAsia="仿宋_GB2312" w:cstheme="minorBidi"/>
          <w:b w:val="0"/>
          <w:i w:val="0"/>
          <w:caps w:val="0"/>
          <w:spacing w:val="0"/>
          <w:kern w:val="2"/>
          <w:sz w:val="32"/>
          <w:szCs w:val="32"/>
          <w:highlight w:val="none"/>
          <w:shd w:val="clear"/>
          <w:lang w:val="en-US" w:eastAsia="zh-CN" w:bidi="ar"/>
          <w14:ligatures w14:val="standardContextual"/>
        </w:rPr>
        <w:t>由</w:t>
      </w:r>
      <w:r>
        <w:rPr>
          <w:rFonts w:hint="eastAsia" w:ascii="仿宋_GB2312" w:hAnsi="仿宋_GB2312" w:eastAsia="仿宋_GB2312" w:cstheme="minorBidi"/>
          <w:b w:val="0"/>
          <w:i w:val="0"/>
          <w:caps w:val="0"/>
          <w:spacing w:val="0"/>
          <w:kern w:val="2"/>
          <w:sz w:val="32"/>
          <w:szCs w:val="32"/>
          <w:highlight w:val="none"/>
          <w:shd w:val="clear"/>
          <w:lang w:val="en-US" w:eastAsia="zh-CN" w:bidi="ar"/>
          <w14:ligatures w14:val="standardContextual"/>
        </w:rPr>
        <w:t>主体方、协同方</w:t>
      </w:r>
      <w:r>
        <w:rPr>
          <w:rFonts w:hint="default" w:ascii="仿宋_GB2312" w:hAnsi="仿宋_GB2312" w:eastAsia="仿宋_GB2312" w:cstheme="minorBidi"/>
          <w:b w:val="0"/>
          <w:i w:val="0"/>
          <w:caps w:val="0"/>
          <w:spacing w:val="0"/>
          <w:kern w:val="2"/>
          <w:sz w:val="32"/>
          <w:szCs w:val="32"/>
          <w:highlight w:val="none"/>
          <w:shd w:val="clear"/>
          <w:lang w:val="en-US" w:eastAsia="zh-CN" w:bidi="ar"/>
          <w14:ligatures w14:val="standardContextual"/>
        </w:rPr>
        <w:t>所在</w:t>
      </w:r>
      <w:r>
        <w:rPr>
          <w:rFonts w:hint="default" w:ascii="仿宋_GB2312" w:hAnsi="仿宋_GB2312" w:eastAsia="仿宋_GB2312" w:cstheme="minorBidi"/>
          <w:b w:val="0"/>
          <w:i w:val="0"/>
          <w:caps w:val="0"/>
          <w:spacing w:val="0"/>
          <w:kern w:val="2"/>
          <w:sz w:val="32"/>
          <w:szCs w:val="32"/>
          <w:shd w:val="clear"/>
          <w:lang w:val="en-US" w:eastAsia="zh-CN" w:bidi="ar"/>
          <w14:ligatures w14:val="standardContextual"/>
        </w:rPr>
        <w:t>地设区的市级、县级市场监督管理部门负责。</w:t>
      </w:r>
      <w:r>
        <w:rPr>
          <w:rFonts w:hint="default" w:ascii="仿宋_GB2312" w:hAnsi="仿宋_GB2312" w:eastAsia="仿宋_GB2312" w:cstheme="minorBidi"/>
          <w:i w:val="0"/>
          <w:caps w:val="0"/>
          <w:spacing w:val="0"/>
          <w:kern w:val="2"/>
          <w:sz w:val="32"/>
          <w:szCs w:val="32"/>
          <w:vertAlign w:val="baseline"/>
          <w:lang w:val="en-US" w:eastAsia="zh-CN" w:bidi="ar"/>
          <w14:ligatures w14:val="standardContextual"/>
        </w:rPr>
        <w:t>主体方和协同方所在地监管部门应当加强监管信息共享，必要时可开展联合检查。</w:t>
      </w:r>
    </w:p>
    <w:p w14:paraId="55FE265E">
      <w:pPr>
        <w:spacing w:line="560" w:lineRule="exact"/>
        <w:rPr>
          <w:rFonts w:hint="eastAsia" w:ascii="楷体_GB2312" w:hAnsi="仿宋_GB2312" w:eastAsia="楷体_GB2312" w:cs="仿宋_GB2312"/>
          <w:bCs/>
          <w:color w:val="auto"/>
          <w:sz w:val="36"/>
          <w:szCs w:val="36"/>
          <w:shd w:val="clear" w:color="auto" w:fill="auto"/>
          <w:lang w:bidi="ar"/>
          <w14:ligatures w14:val="none"/>
        </w:rPr>
      </w:pPr>
      <w:r>
        <w:rPr>
          <w:rFonts w:ascii="仿宋_GB2312" w:hAnsi="仿宋_GB2312" w:eastAsia="仿宋_GB2312"/>
          <w:sz w:val="32"/>
          <w:szCs w:val="32"/>
        </w:rPr>
        <w:t> </w:t>
      </w:r>
      <w:r>
        <w:rPr>
          <w:rFonts w:hint="eastAsia" w:ascii="楷体_GB2312" w:hAnsi="仿宋_GB2312" w:eastAsia="楷体_GB2312" w:cs="仿宋_GB2312"/>
          <w:bCs/>
          <w:color w:val="auto"/>
          <w:sz w:val="32"/>
          <w:szCs w:val="32"/>
          <w:shd w:val="clear" w:color="auto" w:fill="auto"/>
          <w:lang w:bidi="ar"/>
          <w14:ligatures w14:val="none"/>
        </w:rPr>
        <w:t> </w:t>
      </w:r>
      <w:r>
        <w:rPr>
          <w:rFonts w:hint="eastAsia" w:ascii="楷体_GB2312" w:hAnsi="仿宋_GB2312" w:eastAsia="楷体_GB2312" w:cs="仿宋_GB2312"/>
          <w:bCs/>
          <w:color w:val="auto"/>
          <w:sz w:val="32"/>
          <w:szCs w:val="32"/>
          <w:shd w:val="clear" w:color="auto" w:fill="auto"/>
          <w:lang w:eastAsia="zh-CN" w:bidi="ar"/>
          <w14:ligatures w14:val="none"/>
        </w:rPr>
        <w:t>（</w:t>
      </w:r>
      <w:r>
        <w:rPr>
          <w:rFonts w:hint="eastAsia" w:ascii="楷体_GB2312" w:hAnsi="仿宋_GB2312" w:eastAsia="楷体_GB2312" w:cs="仿宋_GB2312"/>
          <w:bCs/>
          <w:color w:val="auto"/>
          <w:sz w:val="32"/>
          <w:szCs w:val="32"/>
          <w:shd w:val="clear" w:color="auto" w:fill="auto"/>
          <w:lang w:bidi="ar"/>
          <w14:ligatures w14:val="none"/>
        </w:rPr>
        <w:t>三</w:t>
      </w:r>
      <w:r>
        <w:rPr>
          <w:rFonts w:hint="eastAsia" w:ascii="楷体_GB2312" w:hAnsi="仿宋_GB2312" w:eastAsia="楷体_GB2312" w:cs="仿宋_GB2312"/>
          <w:bCs/>
          <w:color w:val="auto"/>
          <w:sz w:val="32"/>
          <w:szCs w:val="32"/>
          <w:shd w:val="clear" w:color="auto" w:fill="auto"/>
          <w:lang w:eastAsia="zh-CN" w:bidi="ar"/>
          <w14:ligatures w14:val="none"/>
        </w:rPr>
        <w:t>）</w:t>
      </w:r>
      <w:r>
        <w:rPr>
          <w:rFonts w:hint="eastAsia" w:ascii="楷体_GB2312" w:hAnsi="仿宋_GB2312" w:eastAsia="楷体_GB2312" w:cs="仿宋_GB2312"/>
          <w:bCs/>
          <w:color w:val="auto"/>
          <w:sz w:val="32"/>
          <w:szCs w:val="32"/>
          <w:shd w:val="clear" w:color="auto" w:fill="auto"/>
          <w:lang w:bidi="ar"/>
          <w14:ligatures w14:val="none"/>
        </w:rPr>
        <w:t>责任分工</w:t>
      </w:r>
    </w:p>
    <w:p w14:paraId="2AE9459F">
      <w:pPr>
        <w:keepNext w:val="0"/>
        <w:keepLines w:val="0"/>
        <w:widowControl/>
        <w:suppressLineNumbers w:val="0"/>
        <w:spacing w:line="560" w:lineRule="exact"/>
        <w:ind w:firstLine="640" w:firstLineChars="200"/>
        <w:jc w:val="left"/>
        <w:rPr>
          <w:rFonts w:ascii="仿宋_GB2312" w:hAnsi="仿宋_GB2312" w:eastAsia="仿宋_GB2312"/>
          <w:sz w:val="32"/>
          <w:szCs w:val="32"/>
          <w:lang w:bidi="ar"/>
        </w:rPr>
      </w:pPr>
      <w:r>
        <w:rPr>
          <w:rFonts w:ascii="仿宋_GB2312" w:hAnsi="仿宋_GB2312" w:eastAsia="仿宋_GB2312"/>
          <w:sz w:val="32"/>
          <w:szCs w:val="32"/>
          <w:lang w:bidi="ar"/>
        </w:rPr>
        <w:t>药械流通处</w:t>
      </w:r>
      <w:r>
        <w:rPr>
          <w:rFonts w:hint="eastAsia" w:ascii="仿宋_GB2312" w:hAnsi="仿宋_GB2312" w:eastAsia="仿宋_GB2312"/>
          <w:sz w:val="32"/>
          <w:szCs w:val="32"/>
          <w:lang w:eastAsia="zh-CN" w:bidi="ar"/>
        </w:rPr>
        <w:t>：</w:t>
      </w:r>
      <w:r>
        <w:rPr>
          <w:rFonts w:ascii="仿宋_GB2312" w:hAnsi="仿宋_GB2312" w:eastAsia="仿宋_GB2312" w:cstheme="minorBidi"/>
          <w:i w:val="0"/>
          <w:caps w:val="0"/>
          <w:spacing w:val="0"/>
          <w:kern w:val="2"/>
          <w:sz w:val="32"/>
          <w:szCs w:val="32"/>
          <w:shd w:val="clear"/>
          <w:lang w:val="en-US" w:eastAsia="zh-CN" w:bidi="ar"/>
          <w14:ligatures w14:val="standardContextual"/>
        </w:rPr>
        <w:t>负责</w:t>
      </w:r>
      <w:r>
        <w:rPr>
          <w:rFonts w:hint="default" w:ascii="仿宋_GB2312" w:hAnsi="仿宋_GB2312" w:eastAsia="仿宋_GB2312" w:cstheme="minorBidi"/>
          <w:i w:val="0"/>
          <w:caps w:val="0"/>
          <w:spacing w:val="0"/>
          <w:kern w:val="2"/>
          <w:sz w:val="32"/>
          <w:szCs w:val="32"/>
          <w:shd w:val="clear"/>
          <w:lang w:val="en-US" w:eastAsia="zh-CN" w:bidi="ar"/>
          <w14:ligatures w14:val="standardContextual"/>
        </w:rPr>
        <w:t>制</w:t>
      </w:r>
      <w:r>
        <w:rPr>
          <w:rFonts w:ascii="仿宋_GB2312" w:hAnsi="仿宋_GB2312" w:eastAsia="仿宋_GB2312" w:cstheme="minorBidi"/>
          <w:i w:val="0"/>
          <w:caps w:val="0"/>
          <w:spacing w:val="0"/>
          <w:kern w:val="2"/>
          <w:sz w:val="32"/>
          <w:szCs w:val="32"/>
          <w:shd w:val="clear"/>
          <w:lang w:val="en-US" w:eastAsia="zh-CN" w:bidi="ar"/>
          <w14:ligatures w14:val="standardContextual"/>
        </w:rPr>
        <w:t>定本市医疗器械批发企业多仓协同政策，并统筹工作</w:t>
      </w:r>
      <w:r>
        <w:rPr>
          <w:rFonts w:hint="eastAsia" w:ascii="仿宋_GB2312" w:hAnsi="仿宋_GB2312" w:eastAsia="仿宋_GB2312" w:cstheme="minorBidi"/>
          <w:i w:val="0"/>
          <w:caps w:val="0"/>
          <w:spacing w:val="0"/>
          <w:kern w:val="2"/>
          <w:sz w:val="32"/>
          <w:szCs w:val="32"/>
          <w:shd w:val="clear"/>
          <w:lang w:val="en-US" w:eastAsia="zh-CN" w:bidi="ar"/>
          <w14:ligatures w14:val="standardContextual"/>
        </w:rPr>
        <w:t>开展</w:t>
      </w:r>
      <w:r>
        <w:rPr>
          <w:rFonts w:ascii="仿宋_GB2312" w:hAnsi="仿宋_GB2312" w:eastAsia="仿宋_GB2312" w:cstheme="minorBidi"/>
          <w:i w:val="0"/>
          <w:caps w:val="0"/>
          <w:spacing w:val="0"/>
          <w:kern w:val="2"/>
          <w:sz w:val="32"/>
          <w:szCs w:val="32"/>
          <w:shd w:val="clear"/>
          <w:lang w:val="en-US" w:eastAsia="zh-CN" w:bidi="ar"/>
          <w14:ligatures w14:val="standardContextual"/>
        </w:rPr>
        <w:t>；牵头协调</w:t>
      </w:r>
      <w:r>
        <w:rPr>
          <w:rFonts w:ascii="仿宋_GB2312" w:hAnsi="仿宋_GB2312" w:eastAsia="仿宋_GB2312"/>
          <w:sz w:val="32"/>
          <w:szCs w:val="32"/>
          <w:lang w:bidi="ar"/>
        </w:rPr>
        <w:t>相关省、自治区、直辖市药品监督管理部门</w:t>
      </w:r>
      <w:r>
        <w:rPr>
          <w:rFonts w:ascii="仿宋_GB2312" w:hAnsi="仿宋_GB2312" w:eastAsia="仿宋_GB2312" w:cstheme="minorBidi"/>
          <w:i w:val="0"/>
          <w:caps w:val="0"/>
          <w:spacing w:val="0"/>
          <w:kern w:val="2"/>
          <w:sz w:val="32"/>
          <w:szCs w:val="32"/>
          <w:shd w:val="clear"/>
          <w:lang w:val="en-US" w:eastAsia="zh-CN" w:bidi="ar"/>
          <w14:ligatures w14:val="standardContextual"/>
        </w:rPr>
        <w:t>，建立跨区域监管联动及信息共享机制</w:t>
      </w:r>
      <w:r>
        <w:rPr>
          <w:rFonts w:hint="eastAsia" w:ascii="仿宋_GB2312" w:hAnsi="仿宋_GB2312" w:eastAsia="仿宋_GB2312" w:cstheme="minorBidi"/>
          <w:i w:val="0"/>
          <w:caps w:val="0"/>
          <w:spacing w:val="0"/>
          <w:kern w:val="2"/>
          <w:sz w:val="32"/>
          <w:szCs w:val="32"/>
          <w:shd w:val="clear"/>
          <w:lang w:val="en-US" w:eastAsia="zh-CN" w:bidi="ar"/>
          <w14:ligatures w14:val="standardContextual"/>
        </w:rPr>
        <w:t>。</w:t>
      </w:r>
    </w:p>
    <w:p w14:paraId="64834FDC">
      <w:pPr>
        <w:widowControl/>
        <w:spacing w:line="560" w:lineRule="exact"/>
        <w:ind w:firstLine="640" w:firstLineChars="200"/>
        <w:jc w:val="left"/>
        <w:rPr>
          <w:rFonts w:hint="default" w:ascii="仿宋_GB2312" w:hAnsi="仿宋_GB2312" w:eastAsia="仿宋_GB2312"/>
          <w:sz w:val="32"/>
          <w:szCs w:val="32"/>
          <w:lang w:bidi="ar"/>
        </w:rPr>
      </w:pPr>
      <w:r>
        <w:rPr>
          <w:rFonts w:hint="default" w:ascii="仿宋_GB2312" w:hAnsi="仿宋_GB2312" w:eastAsia="仿宋_GB2312"/>
          <w:sz w:val="32"/>
          <w:szCs w:val="32"/>
          <w:lang w:bidi="ar"/>
        </w:rPr>
        <w:t>各区市场监督管理部门</w:t>
      </w:r>
      <w:r>
        <w:rPr>
          <w:rFonts w:hint="eastAsia" w:ascii="仿宋_GB2312" w:hAnsi="仿宋_GB2312" w:eastAsia="仿宋_GB2312"/>
          <w:sz w:val="32"/>
          <w:szCs w:val="32"/>
          <w:lang w:eastAsia="zh-CN" w:bidi="ar"/>
        </w:rPr>
        <w:t>：</w:t>
      </w:r>
      <w:r>
        <w:rPr>
          <w:rFonts w:ascii="仿宋_GB2312" w:hAnsi="仿宋_GB2312" w:eastAsia="仿宋_GB2312"/>
          <w:sz w:val="32"/>
          <w:szCs w:val="32"/>
          <w:lang w:bidi="ar"/>
        </w:rPr>
        <w:t>负责指导辖区符合条件的医疗器械</w:t>
      </w:r>
      <w:r>
        <w:rPr>
          <w:rFonts w:hint="default" w:ascii="仿宋_GB2312" w:hAnsi="仿宋_GB2312" w:eastAsia="仿宋_GB2312"/>
          <w:sz w:val="32"/>
          <w:szCs w:val="32"/>
          <w:lang w:eastAsia="zh-CN" w:bidi="ar"/>
        </w:rPr>
        <w:t>批发</w:t>
      </w:r>
      <w:r>
        <w:rPr>
          <w:rFonts w:ascii="仿宋_GB2312" w:hAnsi="仿宋_GB2312" w:eastAsia="仿宋_GB2312"/>
          <w:sz w:val="32"/>
          <w:szCs w:val="32"/>
          <w:lang w:bidi="ar"/>
        </w:rPr>
        <w:t>企业开展多仓协同</w:t>
      </w:r>
      <w:r>
        <w:rPr>
          <w:rFonts w:hint="default" w:ascii="仿宋_GB2312" w:hAnsi="仿宋_GB2312" w:eastAsia="仿宋_GB2312"/>
          <w:sz w:val="32"/>
          <w:szCs w:val="32"/>
          <w:lang w:eastAsia="zh-CN" w:bidi="ar"/>
        </w:rPr>
        <w:t>业务并实施监督检查</w:t>
      </w:r>
      <w:r>
        <w:rPr>
          <w:rFonts w:ascii="仿宋_GB2312" w:hAnsi="仿宋_GB2312" w:eastAsia="仿宋_GB2312"/>
          <w:sz w:val="32"/>
          <w:szCs w:val="32"/>
          <w:lang w:bidi="ar"/>
        </w:rPr>
        <w:t>，</w:t>
      </w:r>
      <w:r>
        <w:rPr>
          <w:rFonts w:hint="default" w:ascii="仿宋_GB2312" w:hAnsi="仿宋_GB2312" w:eastAsia="仿宋_GB2312"/>
          <w:sz w:val="32"/>
          <w:szCs w:val="32"/>
          <w:lang w:eastAsia="zh-CN" w:bidi="ar"/>
        </w:rPr>
        <w:t>对接设区的市级、县级负责药品监督管理的部门，做好跨区域多仓协同监管联动</w:t>
      </w:r>
      <w:r>
        <w:rPr>
          <w:rFonts w:ascii="仿宋_GB2312" w:hAnsi="仿宋_GB2312" w:eastAsia="仿宋_GB2312"/>
          <w:sz w:val="32"/>
          <w:szCs w:val="32"/>
          <w:lang w:bidi="ar"/>
        </w:rPr>
        <w:t>。</w:t>
      </w:r>
    </w:p>
    <w:p w14:paraId="618D060D">
      <w:pPr>
        <w:widowControl/>
        <w:adjustRightInd/>
        <w:snapToGrid/>
        <w:spacing w:line="560" w:lineRule="exact"/>
        <w:ind w:firstLine="640" w:firstLineChars="200"/>
        <w:jc w:val="left"/>
        <w:rPr>
          <w:rFonts w:ascii="仿宋_GB2312" w:hAnsi="仿宋_GB2312" w:eastAsia="仿宋_GB2312" w:cstheme="minorBidi"/>
          <w:kern w:val="2"/>
          <w:sz w:val="32"/>
          <w:szCs w:val="32"/>
        </w:rPr>
      </w:pPr>
      <w:r>
        <w:rPr>
          <w:rFonts w:ascii="仿宋_GB2312" w:hAnsi="仿宋_GB2312" w:eastAsia="仿宋_GB2312"/>
          <w:sz w:val="32"/>
          <w:szCs w:val="32"/>
        </w:rPr>
        <w:t>市药品审评检查中心</w:t>
      </w:r>
      <w:r>
        <w:rPr>
          <w:rFonts w:hint="eastAsia" w:ascii="仿宋_GB2312" w:hAnsi="仿宋_GB2312" w:eastAsia="仿宋_GB2312"/>
          <w:sz w:val="32"/>
          <w:szCs w:val="32"/>
          <w:lang w:eastAsia="zh-CN"/>
        </w:rPr>
        <w:t>：</w:t>
      </w:r>
      <w:r>
        <w:rPr>
          <w:rFonts w:hint="default" w:ascii="仿宋_GB2312" w:hAnsi="仿宋_GB2312" w:eastAsia="仿宋_GB2312" w:cstheme="minorBidi"/>
          <w:kern w:val="2"/>
          <w:sz w:val="32"/>
          <w:szCs w:val="32"/>
        </w:rPr>
        <w:t>负责按照市药监局监督检查工作安排，组织对</w:t>
      </w:r>
      <w:r>
        <w:rPr>
          <w:rFonts w:hint="default" w:ascii="仿宋_GB2312" w:hAnsi="仿宋_GB2312" w:eastAsia="仿宋_GB2312" w:cstheme="minorBidi"/>
          <w:kern w:val="2"/>
          <w:sz w:val="32"/>
          <w:szCs w:val="32"/>
          <w:lang w:eastAsia="zh-CN"/>
        </w:rPr>
        <w:t>本市开展多仓协同业务的主体方企业开展</w:t>
      </w:r>
      <w:r>
        <w:rPr>
          <w:rFonts w:hint="default" w:ascii="仿宋_GB2312" w:hAnsi="仿宋_GB2312" w:eastAsia="仿宋_GB2312" w:cstheme="minorBidi"/>
          <w:kern w:val="2"/>
          <w:sz w:val="32"/>
          <w:szCs w:val="32"/>
        </w:rPr>
        <w:t>医疗器械经营质量管理规范符合性检查工作。</w:t>
      </w:r>
    </w:p>
    <w:p w14:paraId="3842C584">
      <w:pPr>
        <w:spacing w:line="560" w:lineRule="exact"/>
        <w:rPr>
          <w:rFonts w:hint="eastAsia" w:ascii="黑体" w:hAnsi="黑体" w:eastAsia="黑体"/>
          <w:sz w:val="32"/>
          <w:szCs w:val="32"/>
        </w:rPr>
      </w:pPr>
      <w:r>
        <w:rPr>
          <w:rFonts w:ascii="黑体" w:hAnsi="黑体" w:eastAsia="黑体"/>
          <w:sz w:val="32"/>
          <w:szCs w:val="32"/>
        </w:rPr>
        <w:t>  五、工作要求</w:t>
      </w:r>
    </w:p>
    <w:p w14:paraId="02BDDDD2">
      <w:pPr>
        <w:spacing w:line="560" w:lineRule="exact"/>
        <w:rPr>
          <w:rFonts w:hint="eastAsia" w:ascii="仿宋_GB2312" w:hAnsi="仿宋_GB2312" w:eastAsia="仿宋_GB2312"/>
          <w:sz w:val="32"/>
          <w:szCs w:val="32"/>
        </w:rPr>
      </w:pPr>
      <w:r>
        <w:rPr>
          <w:rFonts w:ascii="仿宋_GB2312" w:hAnsi="仿宋_GB2312" w:eastAsia="仿宋_GB2312"/>
          <w:sz w:val="32"/>
          <w:szCs w:val="32"/>
        </w:rPr>
        <w:t> </w:t>
      </w:r>
      <w:r>
        <w:rPr>
          <w:rFonts w:hint="eastAsia" w:ascii="楷体_GB2312" w:hAnsi="仿宋_GB2312" w:eastAsia="楷体_GB2312" w:cs="仿宋_GB2312"/>
          <w:bCs/>
          <w:color w:val="auto"/>
          <w:sz w:val="32"/>
          <w:szCs w:val="32"/>
          <w:shd w:val="clear" w:color="auto" w:fill="auto"/>
          <w:lang w:bidi="ar"/>
          <w14:ligatures w14:val="none"/>
        </w:rPr>
        <w:t> （一）提高政治站位，强化使命担当</w:t>
      </w:r>
    </w:p>
    <w:p w14:paraId="6C59D7E0">
      <w:pPr>
        <w:widowControl/>
        <w:spacing w:line="560" w:lineRule="exact"/>
        <w:ind w:firstLine="640" w:firstLineChars="200"/>
        <w:jc w:val="left"/>
        <w:rPr>
          <w:rFonts w:hint="eastAsia" w:ascii="仿宋_GB2312" w:hAnsi="仿宋_GB2312" w:eastAsia="仿宋_GB2312"/>
          <w:sz w:val="32"/>
          <w:szCs w:val="32"/>
        </w:rPr>
      </w:pPr>
      <w:r>
        <w:rPr>
          <w:rFonts w:ascii="仿宋_GB2312" w:hAnsi="仿宋_GB2312" w:eastAsia="仿宋_GB2312"/>
          <w:sz w:val="32"/>
          <w:szCs w:val="32"/>
        </w:rPr>
        <w:t>坚持以习近平新时代中国特色社会主义思想为指导，深入贯彻“四个最严”要求，充分认识多仓协同是落实医药流通行业转型升级部署、优化供应链结构、提升应急保障能力的重要举措。各相关单位要自觉站在服务首都发展大局的高度，将多仓协同作为深化医疗器械流通领域改革创新的重要抓手，主动对标国家药监局工作要求，以首善标准推动创新实践落地见效。</w:t>
      </w:r>
    </w:p>
    <w:p w14:paraId="339218DC">
      <w:pPr>
        <w:widowControl/>
        <w:spacing w:line="560" w:lineRule="exact"/>
        <w:jc w:val="left"/>
        <w:rPr>
          <w:rFonts w:ascii="sans-serif" w:hAnsi="sans-serif" w:eastAsia="sans-serif" w:cs="sans-serif"/>
          <w:color w:val="0F1115"/>
        </w:rPr>
      </w:pPr>
      <w:r>
        <w:rPr>
          <w:rFonts w:ascii="仿宋_GB2312" w:hAnsi="仿宋_GB2312" w:eastAsia="仿宋_GB2312"/>
          <w:sz w:val="32"/>
          <w:szCs w:val="32"/>
        </w:rPr>
        <w:t>  </w:t>
      </w:r>
      <w:r>
        <w:rPr>
          <w:rFonts w:hint="eastAsia" w:ascii="仿宋_GB2312" w:hAnsi="仿宋_GB2312" w:eastAsia="仿宋_GB2312"/>
          <w:sz w:val="32"/>
          <w:szCs w:val="32"/>
          <w:lang w:eastAsia="zh-CN"/>
        </w:rPr>
        <w:t>（</w:t>
      </w:r>
      <w:r>
        <w:rPr>
          <w:rFonts w:hint="eastAsia" w:ascii="楷体_GB2312" w:hAnsi="仿宋_GB2312" w:eastAsia="楷体_GB2312" w:cs="仿宋_GB2312"/>
          <w:bCs/>
          <w:color w:val="auto"/>
          <w:sz w:val="32"/>
          <w:szCs w:val="32"/>
          <w:shd w:val="clear" w:color="auto" w:fill="auto"/>
          <w:lang w:bidi="ar"/>
          <w14:ligatures w14:val="none"/>
        </w:rPr>
        <w:t>二</w:t>
      </w:r>
      <w:r>
        <w:rPr>
          <w:rFonts w:hint="eastAsia" w:ascii="楷体_GB2312" w:hAnsi="仿宋_GB2312" w:eastAsia="楷体_GB2312" w:cs="仿宋_GB2312"/>
          <w:bCs/>
          <w:color w:val="auto"/>
          <w:sz w:val="32"/>
          <w:szCs w:val="32"/>
          <w:shd w:val="clear" w:color="auto" w:fill="auto"/>
          <w:lang w:eastAsia="zh-CN" w:bidi="ar"/>
          <w14:ligatures w14:val="none"/>
        </w:rPr>
        <w:t>）</w:t>
      </w:r>
      <w:r>
        <w:rPr>
          <w:rFonts w:hint="eastAsia" w:ascii="楷体_GB2312" w:hAnsi="仿宋_GB2312" w:eastAsia="楷体_GB2312" w:cs="仿宋_GB2312"/>
          <w:bCs/>
          <w:color w:val="auto"/>
          <w:sz w:val="32"/>
          <w:szCs w:val="32"/>
          <w:shd w:val="clear" w:color="auto" w:fill="auto"/>
          <w:lang w:bidi="ar"/>
          <w14:ligatures w14:val="none"/>
        </w:rPr>
        <w:t>压实企业主责，筑牢安全底线</w:t>
      </w:r>
    </w:p>
    <w:p w14:paraId="778E916D">
      <w:pPr>
        <w:widowControl/>
        <w:spacing w:line="560" w:lineRule="exact"/>
        <w:jc w:val="left"/>
        <w:rPr>
          <w:rFonts w:hint="eastAsia" w:ascii="仿宋_GB2312" w:hAnsi="仿宋_GB2312" w:eastAsia="仿宋_GB2312"/>
          <w:sz w:val="32"/>
          <w:szCs w:val="32"/>
        </w:rPr>
      </w:pPr>
      <w:r>
        <w:rPr>
          <w:rFonts w:ascii="仿宋_GB2312" w:hAnsi="仿宋_GB2312" w:eastAsia="仿宋_GB2312"/>
          <w:sz w:val="32"/>
          <w:szCs w:val="32"/>
        </w:rPr>
        <w:t>  参与多仓协同的医疗器械</w:t>
      </w:r>
      <w:r>
        <w:rPr>
          <w:rFonts w:hint="eastAsia" w:ascii="仿宋_GB2312" w:hAnsi="仿宋_GB2312" w:eastAsia="仿宋_GB2312"/>
          <w:sz w:val="32"/>
          <w:szCs w:val="32"/>
          <w:lang w:eastAsia="zh-CN"/>
        </w:rPr>
        <w:t>批发</w:t>
      </w:r>
      <w:r>
        <w:rPr>
          <w:rFonts w:ascii="仿宋_GB2312" w:hAnsi="仿宋_GB2312" w:eastAsia="仿宋_GB2312"/>
          <w:sz w:val="32"/>
          <w:szCs w:val="32"/>
        </w:rPr>
        <w:t>企业</w:t>
      </w:r>
      <w:r>
        <w:rPr>
          <w:rFonts w:hint="eastAsia" w:ascii="仿宋_GB2312" w:hAnsi="仿宋_GB2312" w:eastAsia="仿宋_GB2312"/>
          <w:sz w:val="32"/>
          <w:szCs w:val="32"/>
          <w:lang w:eastAsia="zh-CN"/>
        </w:rPr>
        <w:t>应</w:t>
      </w:r>
      <w:r>
        <w:rPr>
          <w:rFonts w:ascii="仿宋_GB2312" w:hAnsi="仿宋_GB2312" w:eastAsia="仿宋_GB2312"/>
          <w:sz w:val="32"/>
          <w:szCs w:val="32"/>
        </w:rPr>
        <w:t>严格履行质量安全主体责任，</w:t>
      </w:r>
      <w:r>
        <w:rPr>
          <w:rFonts w:hint="eastAsia" w:ascii="仿宋_GB2312" w:hAnsi="仿宋_GB2312" w:eastAsia="仿宋_GB2312"/>
          <w:sz w:val="32"/>
          <w:szCs w:val="32"/>
        </w:rPr>
        <w:t>主体方</w:t>
      </w:r>
      <w:r>
        <w:rPr>
          <w:rFonts w:ascii="仿宋_GB2312" w:hAnsi="仿宋_GB2312" w:eastAsia="仿宋_GB2312"/>
          <w:sz w:val="32"/>
          <w:szCs w:val="32"/>
        </w:rPr>
        <w:t>对多仓协同全过程质量安全负总责</w:t>
      </w:r>
      <w:r>
        <w:rPr>
          <w:rFonts w:hint="eastAsia" w:ascii="仿宋_GB2312" w:hAnsi="仿宋_GB2312" w:eastAsia="仿宋_GB2312"/>
          <w:sz w:val="32"/>
          <w:szCs w:val="32"/>
        </w:rPr>
        <w:t>，</w:t>
      </w:r>
      <w:r>
        <w:rPr>
          <w:rFonts w:ascii="仿宋_GB2312" w:hAnsi="仿宋_GB2312" w:eastAsia="仿宋_GB2312"/>
          <w:sz w:val="32"/>
          <w:szCs w:val="32"/>
        </w:rPr>
        <w:t>要建立健全覆盖全环节的质量管理体系，制定科学规范的多仓协同</w:t>
      </w:r>
      <w:r>
        <w:rPr>
          <w:rFonts w:hint="eastAsia" w:ascii="仿宋_GB2312" w:hAnsi="仿宋_GB2312" w:eastAsia="仿宋_GB2312"/>
          <w:sz w:val="32"/>
          <w:szCs w:val="32"/>
          <w:lang w:eastAsia="zh-CN"/>
        </w:rPr>
        <w:t>制度</w:t>
      </w:r>
      <w:r>
        <w:rPr>
          <w:rFonts w:ascii="仿宋_GB2312" w:hAnsi="仿宋_GB2312" w:eastAsia="仿宋_GB2312"/>
          <w:sz w:val="32"/>
          <w:szCs w:val="32"/>
        </w:rPr>
        <w:t>，统筹推进仓储资源、信息系统、质量标准</w:t>
      </w:r>
      <w:r>
        <w:rPr>
          <w:rFonts w:hint="eastAsia" w:ascii="仿宋_GB2312" w:hAnsi="仿宋_GB2312" w:eastAsia="仿宋_GB2312"/>
          <w:sz w:val="32"/>
          <w:szCs w:val="32"/>
          <w:lang w:eastAsia="zh-CN"/>
        </w:rPr>
        <w:t>、运输调度</w:t>
      </w:r>
      <w:r>
        <w:rPr>
          <w:rFonts w:ascii="仿宋_GB2312" w:hAnsi="仿宋_GB2312" w:eastAsia="仿宋_GB2312"/>
          <w:sz w:val="32"/>
          <w:szCs w:val="32"/>
        </w:rPr>
        <w:t>等关键要素统一管理</w:t>
      </w:r>
      <w:r>
        <w:rPr>
          <w:rFonts w:hint="eastAsia" w:ascii="仿宋_GB2312" w:hAnsi="仿宋_GB2312" w:eastAsia="仿宋_GB2312"/>
          <w:sz w:val="32"/>
          <w:szCs w:val="32"/>
        </w:rPr>
        <w:t>，</w:t>
      </w:r>
      <w:r>
        <w:rPr>
          <w:rFonts w:ascii="仿宋_GB2312" w:hAnsi="仿宋_GB2312" w:eastAsia="仿宋_GB2312"/>
          <w:sz w:val="32"/>
          <w:szCs w:val="32"/>
        </w:rPr>
        <w:t>确保</w:t>
      </w:r>
      <w:r>
        <w:rPr>
          <w:rFonts w:hint="eastAsia" w:ascii="仿宋_GB2312" w:hAnsi="仿宋_GB2312" w:eastAsia="仿宋_GB2312"/>
          <w:sz w:val="32"/>
          <w:szCs w:val="32"/>
        </w:rPr>
        <w:t>医疗器械质量安全</w:t>
      </w:r>
      <w:r>
        <w:rPr>
          <w:rFonts w:ascii="仿宋_GB2312" w:hAnsi="仿宋_GB2312" w:eastAsia="仿宋_GB2312"/>
          <w:sz w:val="32"/>
          <w:szCs w:val="32"/>
        </w:rPr>
        <w:t>。鼓励企业运用物联网、大数据等技术</w:t>
      </w:r>
      <w:r>
        <w:rPr>
          <w:rFonts w:hint="eastAsia" w:ascii="仿宋_GB2312" w:hAnsi="仿宋_GB2312" w:eastAsia="仿宋_GB2312"/>
          <w:sz w:val="32"/>
          <w:szCs w:val="32"/>
        </w:rPr>
        <w:t>持续</w:t>
      </w:r>
      <w:r>
        <w:rPr>
          <w:rFonts w:ascii="仿宋_GB2312" w:hAnsi="仿宋_GB2312" w:eastAsia="仿宋_GB2312"/>
          <w:sz w:val="32"/>
          <w:szCs w:val="32"/>
        </w:rPr>
        <w:t>提升数字化、智能化管理水平。</w:t>
      </w:r>
    </w:p>
    <w:p w14:paraId="15605079">
      <w:pPr>
        <w:widowControl/>
        <w:spacing w:line="560" w:lineRule="exact"/>
        <w:jc w:val="left"/>
        <w:rPr>
          <w:rFonts w:hint="eastAsia" w:ascii="楷体_GB2312" w:hAnsi="仿宋_GB2312" w:eastAsia="楷体_GB2312" w:cs="仿宋_GB2312"/>
          <w:bCs/>
          <w:color w:val="auto"/>
          <w:sz w:val="32"/>
          <w:szCs w:val="32"/>
          <w:shd w:val="clear" w:color="auto" w:fill="auto"/>
          <w:lang w:bidi="ar"/>
          <w14:ligatures w14:val="none"/>
        </w:rPr>
      </w:pPr>
      <w:r>
        <w:rPr>
          <w:rFonts w:hint="eastAsia" w:ascii="楷体_GB2312" w:hAnsi="仿宋_GB2312" w:eastAsia="楷体_GB2312" w:cs="仿宋_GB2312"/>
          <w:bCs/>
          <w:color w:val="auto"/>
          <w:sz w:val="32"/>
          <w:szCs w:val="32"/>
          <w:shd w:val="clear" w:color="auto" w:fill="auto"/>
          <w:lang w:bidi="ar"/>
          <w14:ligatures w14:val="none"/>
        </w:rPr>
        <w:t>  </w:t>
      </w:r>
      <w:r>
        <w:rPr>
          <w:rFonts w:hint="eastAsia" w:ascii="楷体_GB2312" w:hAnsi="仿宋_GB2312" w:eastAsia="楷体_GB2312" w:cs="仿宋_GB2312"/>
          <w:bCs/>
          <w:color w:val="auto"/>
          <w:sz w:val="32"/>
          <w:szCs w:val="32"/>
          <w:shd w:val="clear" w:color="auto" w:fill="auto"/>
          <w:lang w:eastAsia="zh-CN" w:bidi="ar"/>
          <w14:ligatures w14:val="none"/>
        </w:rPr>
        <w:t>（</w:t>
      </w:r>
      <w:r>
        <w:rPr>
          <w:rFonts w:hint="eastAsia" w:ascii="楷体_GB2312" w:hAnsi="仿宋_GB2312" w:eastAsia="楷体_GB2312" w:cs="仿宋_GB2312"/>
          <w:bCs/>
          <w:color w:val="auto"/>
          <w:sz w:val="32"/>
          <w:szCs w:val="32"/>
          <w:shd w:val="clear" w:color="auto" w:fill="auto"/>
          <w:lang w:bidi="ar"/>
          <w14:ligatures w14:val="none"/>
        </w:rPr>
        <w:t>三</w:t>
      </w:r>
      <w:r>
        <w:rPr>
          <w:rFonts w:hint="eastAsia" w:ascii="楷体_GB2312" w:hAnsi="仿宋_GB2312" w:eastAsia="楷体_GB2312" w:cs="仿宋_GB2312"/>
          <w:bCs/>
          <w:color w:val="auto"/>
          <w:sz w:val="32"/>
          <w:szCs w:val="32"/>
          <w:shd w:val="clear" w:color="auto" w:fill="auto"/>
          <w:lang w:eastAsia="zh-CN" w:bidi="ar"/>
          <w14:ligatures w14:val="none"/>
        </w:rPr>
        <w:t>）</w:t>
      </w:r>
      <w:r>
        <w:rPr>
          <w:rFonts w:hint="eastAsia" w:ascii="楷体_GB2312" w:hAnsi="仿宋_GB2312" w:eastAsia="楷体_GB2312" w:cs="仿宋_GB2312"/>
          <w:bCs/>
          <w:color w:val="auto"/>
          <w:sz w:val="32"/>
          <w:szCs w:val="32"/>
          <w:shd w:val="clear" w:color="auto" w:fill="auto"/>
          <w:lang w:bidi="ar"/>
          <w14:ligatures w14:val="none"/>
        </w:rPr>
        <w:t>深化协同联动，凝聚监管合力</w:t>
      </w:r>
    </w:p>
    <w:p w14:paraId="108D7C58">
      <w:pPr>
        <w:widowControl/>
        <w:spacing w:line="560" w:lineRule="exact"/>
        <w:jc w:val="left"/>
        <w:rPr>
          <w:rFonts w:hint="eastAsia" w:ascii="仿宋_GB2312" w:hAnsi="仿宋_GB2312" w:eastAsia="仿宋_GB2312"/>
          <w:sz w:val="32"/>
          <w:szCs w:val="32"/>
        </w:rPr>
      </w:pPr>
      <w:r>
        <w:rPr>
          <w:rFonts w:ascii="仿宋_GB2312" w:hAnsi="仿宋_GB2312" w:eastAsia="仿宋_GB2312"/>
          <w:sz w:val="32"/>
          <w:szCs w:val="32"/>
        </w:rPr>
        <w:t>  各部门要牢固树立“一盘棋”思想，加强横向协同与纵向联动，形成全链条、全闭环监管合力。建立健全多仓协同联合监管机制，消除监管盲区，实现许可审批、日常监管、执法</w:t>
      </w:r>
      <w:r>
        <w:rPr>
          <w:rFonts w:hint="eastAsia" w:ascii="仿宋_GB2312" w:hAnsi="仿宋_GB2312" w:eastAsia="仿宋_GB2312"/>
          <w:sz w:val="32"/>
          <w:szCs w:val="32"/>
        </w:rPr>
        <w:t>监督</w:t>
      </w:r>
      <w:r>
        <w:rPr>
          <w:rFonts w:ascii="仿宋_GB2312" w:hAnsi="仿宋_GB2312" w:eastAsia="仿宋_GB2312"/>
          <w:sz w:val="32"/>
          <w:szCs w:val="32"/>
        </w:rPr>
        <w:t>、风险监测等信息互通和有序衔接。强化</w:t>
      </w:r>
      <w:r>
        <w:rPr>
          <w:rFonts w:hint="eastAsia" w:ascii="仿宋_GB2312" w:hAnsi="仿宋_GB2312" w:eastAsia="仿宋_GB2312"/>
          <w:sz w:val="32"/>
          <w:szCs w:val="32"/>
        </w:rPr>
        <w:t>市、区</w:t>
      </w:r>
      <w:r>
        <w:rPr>
          <w:rFonts w:ascii="仿宋_GB2312" w:hAnsi="仿宋_GB2312" w:eastAsia="仿宋_GB2312"/>
          <w:sz w:val="32"/>
          <w:szCs w:val="32"/>
        </w:rPr>
        <w:t>监管工作联动，推进监管标准统一、检查规范统一，提升监管系统性和协调性。加强跨区域监管协作联动，推动检查结果互认、风险信息共享、违法线索互联，构建高效协同、齐抓共管的跨区域监管工作格局。</w:t>
      </w:r>
    </w:p>
    <w:p w14:paraId="555A65AB">
      <w:pPr>
        <w:widowControl/>
        <w:spacing w:line="560" w:lineRule="exact"/>
        <w:jc w:val="left"/>
        <w:rPr>
          <w:rFonts w:hint="eastAsia" w:ascii="仿宋_GB2312" w:hAnsi="仿宋_GB2312" w:eastAsia="仿宋_GB2312"/>
          <w:sz w:val="32"/>
          <w:szCs w:val="32"/>
        </w:rPr>
      </w:pPr>
    </w:p>
    <w:p w14:paraId="51DABEC1">
      <w:pPr>
        <w:pStyle w:val="2"/>
        <w:rPr>
          <w:rFonts w:hint="eastAsia" w:ascii="仿宋_GB2312" w:hAnsi="仿宋_GB2312" w:eastAsia="仿宋_GB2312"/>
          <w:sz w:val="32"/>
          <w:szCs w:val="32"/>
          <w:lang w:eastAsia="zh-CN"/>
        </w:rPr>
      </w:pPr>
    </w:p>
    <w:p w14:paraId="66A5D312">
      <w:pPr>
        <w:pStyle w:val="2"/>
        <w:ind w:firstLine="640" w:firstLineChars="200"/>
        <w:rPr>
          <w:rFonts w:hint="eastAsia" w:eastAsia="仿宋_GB2312"/>
          <w:highlight w:val="none"/>
          <w:lang w:eastAsia="zh-CN"/>
        </w:rPr>
      </w:pPr>
      <w:r>
        <w:rPr>
          <w:rFonts w:hint="eastAsia" w:ascii="仿宋_GB2312" w:hAnsi="仿宋_GB2312" w:eastAsia="仿宋_GB2312"/>
          <w:sz w:val="32"/>
          <w:szCs w:val="32"/>
          <w:highlight w:val="none"/>
          <w:lang w:eastAsia="zh-CN"/>
        </w:rPr>
        <w:t>附件：北京市器械批发企业开展多仓协同业务备案表</w:t>
      </w:r>
    </w:p>
    <w:p w14:paraId="353FEDF3">
      <w:pPr>
        <w:spacing w:line="560" w:lineRule="exact"/>
        <w:rPr>
          <w:rFonts w:hint="eastAsia" w:ascii="仿宋_GB2312" w:hAnsi="仿宋_GB2312" w:eastAsia="仿宋_GB2312"/>
          <w:sz w:val="32"/>
          <w:szCs w:val="32"/>
        </w:rPr>
      </w:pPr>
    </w:p>
    <w:p w14:paraId="4A417A6C">
      <w:pPr>
        <w:pStyle w:val="2"/>
        <w:rPr>
          <w:rFonts w:hint="eastAsia" w:ascii="仿宋_GB2312" w:hAnsi="仿宋_GB2312" w:eastAsia="仿宋_GB2312"/>
          <w:sz w:val="32"/>
          <w:szCs w:val="32"/>
        </w:rPr>
      </w:pPr>
    </w:p>
    <w:p w14:paraId="29AA42F9">
      <w:pPr>
        <w:pStyle w:val="2"/>
        <w:rPr>
          <w:rFonts w:hint="eastAsia" w:ascii="仿宋_GB2312" w:hAnsi="仿宋_GB2312" w:eastAsia="仿宋_GB2312"/>
          <w:sz w:val="32"/>
          <w:szCs w:val="32"/>
        </w:rPr>
      </w:pPr>
    </w:p>
    <w:p w14:paraId="11D4689A">
      <w:pPr>
        <w:pStyle w:val="2"/>
        <w:rPr>
          <w:rFonts w:hint="eastAsia" w:ascii="仿宋_GB2312" w:hAnsi="仿宋_GB2312" w:eastAsia="仿宋_GB2312"/>
          <w:sz w:val="32"/>
          <w:szCs w:val="32"/>
        </w:rPr>
      </w:pPr>
    </w:p>
    <w:p w14:paraId="76097975">
      <w:pPr>
        <w:pStyle w:val="2"/>
        <w:rPr>
          <w:rFonts w:hint="eastAsia" w:ascii="仿宋_GB2312" w:hAnsi="仿宋_GB2312" w:eastAsia="仿宋_GB2312"/>
          <w:sz w:val="32"/>
          <w:szCs w:val="32"/>
        </w:rPr>
      </w:pPr>
    </w:p>
    <w:p w14:paraId="21A5E6F6">
      <w:pPr>
        <w:pStyle w:val="2"/>
        <w:rPr>
          <w:rFonts w:hint="eastAsia" w:ascii="仿宋_GB2312" w:hAnsi="仿宋_GB2312" w:eastAsia="仿宋_GB2312"/>
          <w:sz w:val="32"/>
          <w:szCs w:val="32"/>
        </w:rPr>
      </w:pPr>
    </w:p>
    <w:p w14:paraId="02B58B3A">
      <w:pPr>
        <w:pStyle w:val="2"/>
        <w:rPr>
          <w:rFonts w:hint="eastAsia" w:ascii="仿宋_GB2312" w:hAnsi="仿宋_GB2312" w:eastAsia="仿宋_GB2312"/>
          <w:sz w:val="32"/>
          <w:szCs w:val="32"/>
        </w:rPr>
      </w:pPr>
    </w:p>
    <w:p w14:paraId="721A90B0">
      <w:pPr>
        <w:pStyle w:val="2"/>
        <w:rPr>
          <w:rFonts w:hint="eastAsia" w:ascii="仿宋_GB2312" w:hAnsi="仿宋_GB2312" w:eastAsia="仿宋_GB2312"/>
          <w:sz w:val="32"/>
          <w:szCs w:val="32"/>
        </w:rPr>
      </w:pPr>
    </w:p>
    <w:p w14:paraId="6B00FC2B">
      <w:pPr>
        <w:pStyle w:val="2"/>
        <w:rPr>
          <w:rFonts w:hint="eastAsia" w:ascii="仿宋_GB2312" w:hAnsi="仿宋_GB2312" w:eastAsia="仿宋_GB2312"/>
          <w:sz w:val="32"/>
          <w:szCs w:val="32"/>
          <w:lang w:eastAsia="zh-CN"/>
        </w:rPr>
      </w:pPr>
      <w:r>
        <w:rPr>
          <w:rFonts w:hint="eastAsia" w:ascii="黑体" w:hAnsi="黑体" w:eastAsia="黑体" w:cs="黑体"/>
          <w:sz w:val="32"/>
          <w:szCs w:val="32"/>
          <w:lang w:val="en-US" w:eastAsia="zh-CN"/>
        </w:rPr>
        <w:t>附件</w:t>
      </w:r>
      <w:r>
        <w:rPr>
          <w:rFonts w:hint="eastAsia" w:ascii="仿宋_GB2312" w:hAnsi="仿宋_GB2312" w:eastAsia="仿宋_GB2312"/>
          <w:sz w:val="32"/>
          <w:szCs w:val="32"/>
          <w:lang w:val="en-US" w:eastAsia="zh-CN"/>
        </w:rPr>
        <w:t xml:space="preserve">   </w:t>
      </w:r>
      <w:r>
        <w:rPr>
          <w:rFonts w:hint="eastAsia" w:ascii="Times New Roman" w:hAnsi="Times New Roman" w:eastAsia="方正小标宋简体" w:cs="Times New Roman"/>
          <w:kern w:val="2"/>
          <w:sz w:val="44"/>
          <w:szCs w:val="44"/>
          <w:lang w:val="en-US" w:eastAsia="zh-CN" w:bidi="ar-SA"/>
          <w14:ligatures w14:val="none"/>
        </w:rPr>
        <w:t xml:space="preserve"> </w:t>
      </w:r>
      <w:r>
        <w:rPr>
          <w:rFonts w:hint="eastAsia" w:ascii="Times New Roman" w:hAnsi="Times New Roman" w:eastAsia="方正小标宋简体" w:cs="Times New Roman"/>
          <w:kern w:val="2"/>
          <w:sz w:val="30"/>
          <w:szCs w:val="30"/>
          <w:lang w:val="en-US" w:eastAsia="zh-CN" w:bidi="ar-SA"/>
          <w14:ligatures w14:val="none"/>
        </w:rPr>
        <w:t>北京市器械批发企业开展多仓协同业务备案表</w:t>
      </w:r>
    </w:p>
    <w:tbl>
      <w:tblPr>
        <w:tblStyle w:val="23"/>
        <w:tblW w:w="97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8"/>
        <w:gridCol w:w="2627"/>
        <w:gridCol w:w="1043"/>
        <w:gridCol w:w="962"/>
        <w:gridCol w:w="686"/>
        <w:gridCol w:w="2589"/>
      </w:tblGrid>
      <w:tr w14:paraId="53E0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exact"/>
          <w:jc w:val="center"/>
        </w:trPr>
        <w:tc>
          <w:tcPr>
            <w:tcW w:w="1868" w:type="dxa"/>
            <w:vAlign w:val="center"/>
          </w:tcPr>
          <w:p w14:paraId="2EDC26B7">
            <w:pPr>
              <w:adjustRightInd w:val="0"/>
              <w:snapToGrid w:val="0"/>
              <w:jc w:val="center"/>
              <w:rPr>
                <w:rFonts w:asciiTheme="minorEastAsia" w:hAnsiTheme="minorEastAsia" w:eastAsiaTheme="minorEastAsia"/>
                <w:szCs w:val="21"/>
              </w:rPr>
            </w:pPr>
            <w:r>
              <w:rPr>
                <w:rFonts w:hint="eastAsia" w:asciiTheme="minorEastAsia" w:hAnsiTheme="minorEastAsia" w:eastAsiaTheme="minorEastAsia"/>
                <w:szCs w:val="21"/>
              </w:rPr>
              <w:t>企业名称</w:t>
            </w:r>
          </w:p>
        </w:tc>
        <w:tc>
          <w:tcPr>
            <w:tcW w:w="7907" w:type="dxa"/>
            <w:gridSpan w:val="5"/>
            <w:vAlign w:val="center"/>
          </w:tcPr>
          <w:p w14:paraId="1ED0787B">
            <w:pPr>
              <w:adjustRightInd w:val="0"/>
              <w:snapToGrid w:val="0"/>
              <w:rPr>
                <w:rFonts w:asciiTheme="minorEastAsia" w:hAnsiTheme="minorEastAsia" w:eastAsiaTheme="minorEastAsia"/>
                <w:szCs w:val="21"/>
              </w:rPr>
            </w:pPr>
          </w:p>
        </w:tc>
      </w:tr>
      <w:tr w14:paraId="7C4DB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exact"/>
          <w:jc w:val="center"/>
        </w:trPr>
        <w:tc>
          <w:tcPr>
            <w:tcW w:w="1868" w:type="dxa"/>
            <w:vAlign w:val="center"/>
          </w:tcPr>
          <w:p w14:paraId="0C3D0E94">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统一社会</w:t>
            </w:r>
          </w:p>
          <w:p w14:paraId="61B4E14D">
            <w:pPr>
              <w:adjustRightInd w:val="0"/>
              <w:snapToGrid w:val="0"/>
              <w:jc w:val="center"/>
              <w:rPr>
                <w:rFonts w:asciiTheme="minorEastAsia" w:hAnsiTheme="minorEastAsia" w:eastAsiaTheme="minorEastAsia"/>
                <w:szCs w:val="21"/>
                <w:highlight w:val="yellow"/>
              </w:rPr>
            </w:pPr>
            <w:r>
              <w:rPr>
                <w:rFonts w:hint="eastAsia" w:asciiTheme="minorEastAsia" w:hAnsiTheme="minorEastAsia" w:eastAsiaTheme="minorEastAsia"/>
                <w:bCs/>
                <w:szCs w:val="21"/>
              </w:rPr>
              <w:t>信用代码</w:t>
            </w:r>
          </w:p>
        </w:tc>
        <w:tc>
          <w:tcPr>
            <w:tcW w:w="2627" w:type="dxa"/>
            <w:vAlign w:val="center"/>
          </w:tcPr>
          <w:p w14:paraId="5F0C1126">
            <w:pPr>
              <w:adjustRightInd w:val="0"/>
              <w:snapToGrid w:val="0"/>
              <w:jc w:val="center"/>
              <w:rPr>
                <w:rFonts w:asciiTheme="minorEastAsia" w:hAnsiTheme="minorEastAsia" w:eastAsiaTheme="minorEastAsia"/>
                <w:szCs w:val="21"/>
              </w:rPr>
            </w:pPr>
          </w:p>
        </w:tc>
        <w:tc>
          <w:tcPr>
            <w:tcW w:w="2005" w:type="dxa"/>
            <w:gridSpan w:val="2"/>
            <w:vMerge w:val="restart"/>
            <w:vAlign w:val="center"/>
          </w:tcPr>
          <w:p w14:paraId="6204553A">
            <w:pPr>
              <w:adjustRightInd w:val="0"/>
              <w:snapToGrid w:val="0"/>
              <w:jc w:val="center"/>
              <w:rPr>
                <w:rFonts w:hint="eastAsia" w:asciiTheme="minorEastAsia" w:hAnsiTheme="minorEastAsia" w:eastAsiaTheme="minorEastAsia"/>
                <w:szCs w:val="21"/>
                <w:lang w:eastAsia="zh-CN"/>
              </w:rPr>
            </w:pPr>
            <w:r>
              <w:rPr>
                <w:rFonts w:hint="eastAsia" w:asciiTheme="minorEastAsia" w:hAnsiTheme="minorEastAsia"/>
                <w:szCs w:val="21"/>
                <w:lang w:eastAsia="zh-CN"/>
              </w:rPr>
              <w:t>多仓协同身份</w:t>
            </w:r>
          </w:p>
        </w:tc>
        <w:tc>
          <w:tcPr>
            <w:tcW w:w="3275" w:type="dxa"/>
            <w:gridSpan w:val="2"/>
            <w:vMerge w:val="restart"/>
            <w:vAlign w:val="center"/>
          </w:tcPr>
          <w:p w14:paraId="3C4DA249">
            <w:pPr>
              <w:adjustRightInd w:val="0"/>
              <w:snapToGrid w:val="0"/>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szCs w:val="21"/>
                <w:lang w:eastAsia="zh-CN"/>
              </w:rPr>
              <w:t>主体方</w:t>
            </w:r>
            <w:r>
              <w:rPr>
                <w:rFonts w:hint="eastAsia" w:asciiTheme="minorEastAsia" w:hAnsiTheme="minorEastAsia" w:eastAsiaTheme="minorEastAsia"/>
                <w:szCs w:val="21"/>
              </w:rPr>
              <w:t xml:space="preserve"> </w:t>
            </w:r>
          </w:p>
          <w:p w14:paraId="2BA59577">
            <w:pPr>
              <w:adjustRightInd w:val="0"/>
              <w:snapToGrid w:val="0"/>
              <w:rPr>
                <w:rFonts w:asciiTheme="minorEastAsia" w:hAnsiTheme="minorEastAsia" w:eastAsiaTheme="minorEastAsia"/>
                <w:szCs w:val="21"/>
              </w:rPr>
            </w:pPr>
            <w:r>
              <w:rPr>
                <w:rFonts w:hint="eastAsia" w:asciiTheme="minorEastAsia" w:hAnsiTheme="minorEastAsia" w:eastAsiaTheme="minorEastAsia"/>
                <w:szCs w:val="21"/>
              </w:rPr>
              <w:sym w:font="Wingdings 2" w:char="00A3"/>
            </w:r>
            <w:r>
              <w:rPr>
                <w:rFonts w:hint="eastAsia" w:asciiTheme="minorEastAsia" w:hAnsiTheme="minorEastAsia"/>
                <w:szCs w:val="21"/>
                <w:lang w:eastAsia="zh-CN"/>
              </w:rPr>
              <w:t>协同方</w:t>
            </w:r>
            <w:r>
              <w:rPr>
                <w:rFonts w:hint="eastAsia" w:asciiTheme="minorEastAsia" w:hAnsiTheme="minorEastAsia" w:eastAsiaTheme="minorEastAsia"/>
                <w:szCs w:val="21"/>
              </w:rPr>
              <w:t xml:space="preserve"> </w:t>
            </w:r>
          </w:p>
        </w:tc>
      </w:tr>
      <w:tr w14:paraId="76F3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868" w:type="dxa"/>
            <w:vAlign w:val="center"/>
          </w:tcPr>
          <w:p w14:paraId="27EA7223">
            <w:pPr>
              <w:adjustRightInd w:val="0"/>
              <w:snapToGrid w:val="0"/>
              <w:jc w:val="center"/>
              <w:rPr>
                <w:rFonts w:asciiTheme="minorEastAsia" w:hAnsiTheme="minorEastAsia" w:eastAsiaTheme="minorEastAsia"/>
                <w:szCs w:val="21"/>
              </w:rPr>
            </w:pPr>
            <w:r>
              <w:rPr>
                <w:rFonts w:hint="eastAsia" w:asciiTheme="minorEastAsia" w:hAnsiTheme="minorEastAsia" w:eastAsiaTheme="minorEastAsia"/>
                <w:szCs w:val="21"/>
              </w:rPr>
              <w:t>住    所</w:t>
            </w:r>
          </w:p>
        </w:tc>
        <w:tc>
          <w:tcPr>
            <w:tcW w:w="2627" w:type="dxa"/>
            <w:vAlign w:val="center"/>
          </w:tcPr>
          <w:p w14:paraId="0458851F">
            <w:pPr>
              <w:adjustRightInd w:val="0"/>
              <w:snapToGrid w:val="0"/>
              <w:rPr>
                <w:rFonts w:asciiTheme="minorEastAsia" w:hAnsiTheme="minorEastAsia" w:eastAsiaTheme="minorEastAsia"/>
                <w:szCs w:val="21"/>
              </w:rPr>
            </w:pPr>
          </w:p>
        </w:tc>
        <w:tc>
          <w:tcPr>
            <w:tcW w:w="2005" w:type="dxa"/>
            <w:gridSpan w:val="2"/>
            <w:vMerge w:val="continue"/>
            <w:vAlign w:val="center"/>
          </w:tcPr>
          <w:p w14:paraId="68E29ADC">
            <w:pPr>
              <w:adjustRightInd w:val="0"/>
              <w:snapToGrid w:val="0"/>
              <w:jc w:val="center"/>
              <w:rPr>
                <w:rFonts w:asciiTheme="minorEastAsia" w:hAnsiTheme="minorEastAsia" w:eastAsiaTheme="minorEastAsia"/>
                <w:szCs w:val="21"/>
              </w:rPr>
            </w:pPr>
          </w:p>
        </w:tc>
        <w:tc>
          <w:tcPr>
            <w:tcW w:w="3275" w:type="dxa"/>
            <w:gridSpan w:val="2"/>
            <w:vMerge w:val="continue"/>
            <w:vAlign w:val="center"/>
          </w:tcPr>
          <w:p w14:paraId="4D2A4DCB">
            <w:pPr>
              <w:adjustRightInd w:val="0"/>
              <w:snapToGrid w:val="0"/>
              <w:rPr>
                <w:rFonts w:asciiTheme="minorEastAsia" w:hAnsiTheme="minorEastAsia" w:eastAsiaTheme="minorEastAsia"/>
                <w:szCs w:val="21"/>
              </w:rPr>
            </w:pPr>
          </w:p>
        </w:tc>
      </w:tr>
      <w:tr w14:paraId="2F85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5" w:hRule="exact"/>
          <w:jc w:val="center"/>
        </w:trPr>
        <w:tc>
          <w:tcPr>
            <w:tcW w:w="1868" w:type="dxa"/>
            <w:vAlign w:val="center"/>
          </w:tcPr>
          <w:p w14:paraId="60C4B893">
            <w:pPr>
              <w:adjustRightInd w:val="0"/>
              <w:snapToGrid w:val="0"/>
              <w:jc w:val="center"/>
              <w:rPr>
                <w:rFonts w:asciiTheme="minorEastAsia" w:hAnsiTheme="minorEastAsia" w:eastAsiaTheme="minorEastAsia"/>
                <w:szCs w:val="21"/>
              </w:rPr>
            </w:pPr>
            <w:r>
              <w:rPr>
                <w:rFonts w:hint="eastAsia" w:asciiTheme="minorEastAsia" w:hAnsiTheme="minorEastAsia" w:eastAsiaTheme="minorEastAsia"/>
                <w:szCs w:val="21"/>
              </w:rPr>
              <w:t>经营方式</w:t>
            </w:r>
          </w:p>
        </w:tc>
        <w:tc>
          <w:tcPr>
            <w:tcW w:w="2627" w:type="dxa"/>
            <w:vAlign w:val="center"/>
          </w:tcPr>
          <w:p w14:paraId="63E9D2C7">
            <w:pPr>
              <w:adjustRightInd w:val="0"/>
              <w:snapToGrid w:val="0"/>
              <w:rPr>
                <w:rFonts w:asciiTheme="minorEastAsia" w:hAnsiTheme="minorEastAsia" w:eastAsiaTheme="minorEastAsia"/>
                <w:szCs w:val="21"/>
              </w:rPr>
            </w:pPr>
            <w:r>
              <w:rPr>
                <w:rFonts w:hint="eastAsia" w:asciiTheme="minorEastAsia" w:hAnsiTheme="minorEastAsia" w:eastAsiaTheme="minorEastAsia"/>
                <w:szCs w:val="21"/>
              </w:rPr>
              <w:t xml:space="preserve">□批发  </w:t>
            </w:r>
          </w:p>
          <w:p w14:paraId="7C99107B">
            <w:pPr>
              <w:adjustRightInd w:val="0"/>
              <w:snapToGrid w:val="0"/>
              <w:rPr>
                <w:rFonts w:hint="eastAsia" w:asciiTheme="minorEastAsia" w:hAnsiTheme="minorEastAsia" w:eastAsiaTheme="minorEastAsia"/>
                <w:szCs w:val="21"/>
              </w:rPr>
            </w:pPr>
            <w:r>
              <w:rPr>
                <w:rFonts w:hint="eastAsia" w:asciiTheme="minorEastAsia" w:hAnsiTheme="minorEastAsia" w:eastAsiaTheme="minorEastAsia"/>
                <w:szCs w:val="21"/>
              </w:rPr>
              <w:t>□为医疗器械注册人、备案人和经营企业专门提供医疗器械运输、贮存服务</w:t>
            </w:r>
          </w:p>
        </w:tc>
        <w:tc>
          <w:tcPr>
            <w:tcW w:w="2005" w:type="dxa"/>
            <w:gridSpan w:val="2"/>
            <w:vAlign w:val="center"/>
          </w:tcPr>
          <w:p w14:paraId="284DD898">
            <w:pPr>
              <w:adjustRightInd w:val="0"/>
              <w:snapToGrid w:val="0"/>
              <w:jc w:val="center"/>
              <w:rPr>
                <w:rFonts w:hint="eastAsia" w:asciiTheme="minorEastAsia" w:hAnsiTheme="minorEastAsia" w:eastAsiaTheme="minorEastAsia"/>
                <w:szCs w:val="21"/>
                <w:lang w:eastAsia="zh-CN"/>
              </w:rPr>
            </w:pPr>
            <w:r>
              <w:rPr>
                <w:rFonts w:hint="eastAsia" w:asciiTheme="minorEastAsia" w:hAnsiTheme="minorEastAsia"/>
                <w:szCs w:val="21"/>
                <w:lang w:eastAsia="zh-CN"/>
              </w:rPr>
              <w:t>器械经营资质</w:t>
            </w:r>
          </w:p>
        </w:tc>
        <w:tc>
          <w:tcPr>
            <w:tcW w:w="3275" w:type="dxa"/>
            <w:gridSpan w:val="2"/>
            <w:vAlign w:val="center"/>
          </w:tcPr>
          <w:p w14:paraId="75C6AEBF">
            <w:pPr>
              <w:adjustRightInd w:val="0"/>
              <w:snapToGrid w:val="0"/>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szCs w:val="21"/>
                <w:lang w:eastAsia="zh-CN"/>
              </w:rPr>
              <w:t>许可证：</w:t>
            </w:r>
            <w:r>
              <w:rPr>
                <w:rFonts w:hint="eastAsia" w:asciiTheme="minorEastAsia" w:hAnsiTheme="minorEastAsia" w:eastAsiaTheme="minorEastAsia"/>
                <w:szCs w:val="21"/>
              </w:rPr>
              <w:t xml:space="preserve"> </w:t>
            </w:r>
          </w:p>
          <w:p w14:paraId="4618A17D">
            <w:pPr>
              <w:adjustRightInd w:val="0"/>
              <w:snapToGrid w:val="0"/>
              <w:rPr>
                <w:rFonts w:asciiTheme="minorEastAsia" w:hAnsiTheme="minorEastAsia" w:eastAsiaTheme="minorEastAsia"/>
                <w:szCs w:val="21"/>
              </w:rPr>
            </w:pPr>
            <w:r>
              <w:rPr>
                <w:rFonts w:hint="eastAsia" w:asciiTheme="minorEastAsia" w:hAnsiTheme="minorEastAsia" w:eastAsiaTheme="minorEastAsia"/>
                <w:szCs w:val="21"/>
              </w:rPr>
              <w:sym w:font="Wingdings 2" w:char="00A3"/>
            </w:r>
            <w:r>
              <w:rPr>
                <w:rFonts w:hint="eastAsia" w:asciiTheme="minorEastAsia" w:hAnsiTheme="minorEastAsia"/>
                <w:szCs w:val="21"/>
                <w:lang w:eastAsia="zh-CN"/>
              </w:rPr>
              <w:t>二类备案：</w:t>
            </w:r>
          </w:p>
        </w:tc>
      </w:tr>
      <w:tr w14:paraId="2ABD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exact"/>
          <w:jc w:val="center"/>
        </w:trPr>
        <w:tc>
          <w:tcPr>
            <w:tcW w:w="1868" w:type="dxa"/>
            <w:vAlign w:val="center"/>
          </w:tcPr>
          <w:p w14:paraId="502D03C6">
            <w:pPr>
              <w:adjustRightInd w:val="0"/>
              <w:snapToGrid w:val="0"/>
              <w:jc w:val="center"/>
              <w:rPr>
                <w:rFonts w:asciiTheme="minorEastAsia" w:hAnsiTheme="minorEastAsia" w:eastAsiaTheme="minorEastAsia"/>
                <w:szCs w:val="21"/>
              </w:rPr>
            </w:pPr>
            <w:r>
              <w:rPr>
                <w:rFonts w:hint="eastAsia" w:asciiTheme="minorEastAsia" w:hAnsiTheme="minorEastAsia" w:eastAsiaTheme="minorEastAsia"/>
                <w:szCs w:val="21"/>
              </w:rPr>
              <w:t>经营场所</w:t>
            </w:r>
          </w:p>
        </w:tc>
        <w:tc>
          <w:tcPr>
            <w:tcW w:w="7907" w:type="dxa"/>
            <w:gridSpan w:val="5"/>
            <w:vAlign w:val="center"/>
          </w:tcPr>
          <w:p w14:paraId="6CB38B05">
            <w:pPr>
              <w:adjustRightInd w:val="0"/>
              <w:snapToGrid w:val="0"/>
              <w:rPr>
                <w:rFonts w:asciiTheme="minorEastAsia" w:hAnsiTheme="minorEastAsia" w:eastAsiaTheme="minorEastAsia"/>
                <w:szCs w:val="21"/>
              </w:rPr>
            </w:pPr>
          </w:p>
        </w:tc>
      </w:tr>
      <w:tr w14:paraId="4C74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exact"/>
          <w:jc w:val="center"/>
        </w:trPr>
        <w:tc>
          <w:tcPr>
            <w:tcW w:w="1868" w:type="dxa"/>
            <w:vAlign w:val="center"/>
          </w:tcPr>
          <w:p w14:paraId="36337EC7">
            <w:pPr>
              <w:adjustRightInd w:val="0"/>
              <w:snapToGrid w:val="0"/>
              <w:jc w:val="center"/>
              <w:rPr>
                <w:rFonts w:asciiTheme="minorEastAsia" w:hAnsiTheme="minorEastAsia" w:eastAsiaTheme="minorEastAsia"/>
                <w:szCs w:val="21"/>
              </w:rPr>
            </w:pPr>
            <w:r>
              <w:rPr>
                <w:rFonts w:hint="eastAsia" w:asciiTheme="minorEastAsia" w:hAnsiTheme="minorEastAsia" w:eastAsiaTheme="minorEastAsia"/>
                <w:szCs w:val="21"/>
              </w:rPr>
              <w:t>库房地址</w:t>
            </w:r>
          </w:p>
        </w:tc>
        <w:tc>
          <w:tcPr>
            <w:tcW w:w="2627" w:type="dxa"/>
            <w:vAlign w:val="center"/>
          </w:tcPr>
          <w:p w14:paraId="38B94317">
            <w:pPr>
              <w:adjustRightInd w:val="0"/>
              <w:snapToGrid w:val="0"/>
              <w:rPr>
                <w:rFonts w:asciiTheme="minorEastAsia" w:hAnsiTheme="minorEastAsia" w:eastAsiaTheme="minorEastAsia"/>
                <w:szCs w:val="21"/>
              </w:rPr>
            </w:pPr>
          </w:p>
        </w:tc>
        <w:tc>
          <w:tcPr>
            <w:tcW w:w="2005" w:type="dxa"/>
            <w:gridSpan w:val="2"/>
            <w:vAlign w:val="center"/>
          </w:tcPr>
          <w:p w14:paraId="2AFB67F2">
            <w:pPr>
              <w:adjustRightInd w:val="0"/>
              <w:snapToGrid w:val="0"/>
              <w:jc w:val="center"/>
              <w:rPr>
                <w:rFonts w:asciiTheme="minorEastAsia" w:hAnsiTheme="minorEastAsia" w:eastAsiaTheme="minorEastAsia"/>
                <w:szCs w:val="21"/>
              </w:rPr>
            </w:pPr>
            <w:r>
              <w:rPr>
                <w:rFonts w:hint="eastAsia" w:asciiTheme="minorEastAsia" w:hAnsiTheme="minorEastAsia"/>
                <w:szCs w:val="21"/>
                <w:lang w:eastAsia="zh-CN"/>
              </w:rPr>
              <w:t>企业</w:t>
            </w:r>
            <w:r>
              <w:rPr>
                <w:rFonts w:hint="eastAsia" w:asciiTheme="minorEastAsia" w:hAnsiTheme="minorEastAsia" w:eastAsiaTheme="minorEastAsia"/>
                <w:szCs w:val="21"/>
              </w:rPr>
              <w:t>联系</w:t>
            </w:r>
            <w:r>
              <w:rPr>
                <w:rFonts w:hint="eastAsia" w:asciiTheme="minorEastAsia" w:hAnsiTheme="minorEastAsia"/>
                <w:szCs w:val="21"/>
                <w:lang w:eastAsia="zh-CN"/>
              </w:rPr>
              <w:t>人及</w:t>
            </w:r>
            <w:r>
              <w:rPr>
                <w:rFonts w:hint="eastAsia" w:asciiTheme="minorEastAsia" w:hAnsiTheme="minorEastAsia" w:eastAsiaTheme="minorEastAsia"/>
                <w:szCs w:val="21"/>
              </w:rPr>
              <w:t>电话</w:t>
            </w:r>
          </w:p>
        </w:tc>
        <w:tc>
          <w:tcPr>
            <w:tcW w:w="3275" w:type="dxa"/>
            <w:gridSpan w:val="2"/>
            <w:vAlign w:val="center"/>
          </w:tcPr>
          <w:p w14:paraId="5FD58573">
            <w:pPr>
              <w:adjustRightInd w:val="0"/>
              <w:snapToGrid w:val="0"/>
              <w:rPr>
                <w:rFonts w:asciiTheme="minorEastAsia" w:hAnsiTheme="minorEastAsia" w:eastAsiaTheme="minorEastAsia"/>
                <w:szCs w:val="21"/>
              </w:rPr>
            </w:pPr>
          </w:p>
        </w:tc>
      </w:tr>
      <w:tr w14:paraId="1964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7" w:hRule="exact"/>
          <w:jc w:val="center"/>
        </w:trPr>
        <w:tc>
          <w:tcPr>
            <w:tcW w:w="1868" w:type="dxa"/>
            <w:vAlign w:val="center"/>
          </w:tcPr>
          <w:p w14:paraId="43FFACD0">
            <w:pPr>
              <w:adjustRightInd w:val="0"/>
              <w:snapToGrid w:val="0"/>
              <w:jc w:val="center"/>
              <w:rPr>
                <w:rFonts w:asciiTheme="minorEastAsia" w:hAnsiTheme="minorEastAsia" w:eastAsiaTheme="minorEastAsia"/>
                <w:szCs w:val="21"/>
              </w:rPr>
            </w:pPr>
            <w:r>
              <w:rPr>
                <w:rFonts w:hint="eastAsia" w:asciiTheme="minorEastAsia" w:hAnsiTheme="minorEastAsia" w:eastAsiaTheme="minorEastAsia"/>
                <w:szCs w:val="21"/>
              </w:rPr>
              <w:t>经营范围</w:t>
            </w:r>
          </w:p>
        </w:tc>
        <w:tc>
          <w:tcPr>
            <w:tcW w:w="7907" w:type="dxa"/>
            <w:gridSpan w:val="5"/>
            <w:vAlign w:val="center"/>
          </w:tcPr>
          <w:p w14:paraId="204A43D7">
            <w:pPr>
              <w:adjustRightInd w:val="0"/>
              <w:snapToGrid w:val="0"/>
              <w:rPr>
                <w:rFonts w:asciiTheme="minorEastAsia" w:hAnsiTheme="minorEastAsia" w:eastAsiaTheme="minorEastAsia"/>
                <w:szCs w:val="21"/>
              </w:rPr>
            </w:pPr>
          </w:p>
        </w:tc>
      </w:tr>
      <w:tr w14:paraId="5A5F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exact"/>
          <w:jc w:val="center"/>
        </w:trPr>
        <w:tc>
          <w:tcPr>
            <w:tcW w:w="1868" w:type="dxa"/>
            <w:vAlign w:val="center"/>
          </w:tcPr>
          <w:p w14:paraId="79A37659">
            <w:pPr>
              <w:adjustRightInd w:val="0"/>
              <w:snapToGrid w:val="0"/>
              <w:jc w:val="center"/>
              <w:rPr>
                <w:rFonts w:hint="eastAsia" w:asciiTheme="minorEastAsia" w:hAnsiTheme="minorEastAsia" w:eastAsiaTheme="minorEastAsia"/>
                <w:szCs w:val="21"/>
                <w:lang w:eastAsia="zh-CN"/>
              </w:rPr>
            </w:pPr>
            <w:r>
              <w:rPr>
                <w:rFonts w:hint="eastAsia" w:asciiTheme="minorEastAsia" w:hAnsiTheme="minorEastAsia"/>
                <w:szCs w:val="21"/>
                <w:lang w:eastAsia="zh-CN"/>
              </w:rPr>
              <w:t>协同品种范围</w:t>
            </w:r>
          </w:p>
        </w:tc>
        <w:tc>
          <w:tcPr>
            <w:tcW w:w="7907" w:type="dxa"/>
            <w:gridSpan w:val="5"/>
            <w:vAlign w:val="center"/>
          </w:tcPr>
          <w:p w14:paraId="62D316AC">
            <w:pPr>
              <w:adjustRightInd w:val="0"/>
              <w:snapToGrid w:val="0"/>
              <w:jc w:val="center"/>
              <w:rPr>
                <w:rFonts w:asciiTheme="minorEastAsia" w:hAnsiTheme="minorEastAsia" w:eastAsiaTheme="minorEastAsia"/>
                <w:szCs w:val="21"/>
              </w:rPr>
            </w:pPr>
          </w:p>
        </w:tc>
      </w:tr>
      <w:tr w14:paraId="747A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exact"/>
          <w:jc w:val="center"/>
        </w:trPr>
        <w:tc>
          <w:tcPr>
            <w:tcW w:w="1868" w:type="dxa"/>
            <w:vAlign w:val="center"/>
          </w:tcPr>
          <w:p w14:paraId="6E1E4552">
            <w:pPr>
              <w:adjustRightInd w:val="0"/>
              <w:snapToGrid w:val="0"/>
              <w:jc w:val="center"/>
              <w:rPr>
                <w:rFonts w:hint="eastAsia" w:asciiTheme="minorEastAsia" w:hAnsiTheme="minorEastAsia" w:eastAsiaTheme="minorEastAsia"/>
                <w:szCs w:val="21"/>
                <w:lang w:eastAsia="zh-CN"/>
              </w:rPr>
            </w:pPr>
            <w:r>
              <w:rPr>
                <w:rFonts w:hint="eastAsia" w:asciiTheme="minorEastAsia" w:hAnsiTheme="minorEastAsia"/>
                <w:szCs w:val="21"/>
                <w:lang w:eastAsia="zh-CN"/>
              </w:rPr>
              <w:t>参与方企业名称</w:t>
            </w:r>
          </w:p>
        </w:tc>
        <w:tc>
          <w:tcPr>
            <w:tcW w:w="3670" w:type="dxa"/>
            <w:gridSpan w:val="2"/>
            <w:vAlign w:val="center"/>
          </w:tcPr>
          <w:p w14:paraId="3E20C33B">
            <w:pPr>
              <w:adjustRightInd w:val="0"/>
              <w:snapToGrid w:val="0"/>
              <w:jc w:val="center"/>
              <w:rPr>
                <w:rFonts w:asciiTheme="minorEastAsia" w:hAnsiTheme="minorEastAsia" w:eastAsiaTheme="minorEastAsia"/>
                <w:szCs w:val="21"/>
              </w:rPr>
            </w:pPr>
          </w:p>
        </w:tc>
        <w:tc>
          <w:tcPr>
            <w:tcW w:w="1648" w:type="dxa"/>
            <w:gridSpan w:val="2"/>
            <w:vAlign w:val="center"/>
          </w:tcPr>
          <w:p w14:paraId="46BE79C6">
            <w:pPr>
              <w:adjustRightInd w:val="0"/>
              <w:snapToGrid w:val="0"/>
              <w:jc w:val="center"/>
              <w:rPr>
                <w:rFonts w:hint="eastAsia" w:asciiTheme="minorEastAsia" w:hAnsiTheme="minorEastAsia" w:eastAsiaTheme="minorEastAsia"/>
                <w:szCs w:val="21"/>
                <w:lang w:eastAsia="zh-CN"/>
              </w:rPr>
            </w:pPr>
            <w:r>
              <w:rPr>
                <w:rFonts w:hint="eastAsia" w:asciiTheme="minorEastAsia" w:hAnsiTheme="minorEastAsia"/>
                <w:szCs w:val="21"/>
                <w:lang w:eastAsia="zh-CN"/>
              </w:rPr>
              <w:t>隶属集团及企业间关系</w:t>
            </w:r>
          </w:p>
        </w:tc>
        <w:tc>
          <w:tcPr>
            <w:tcW w:w="2589" w:type="dxa"/>
            <w:vAlign w:val="center"/>
          </w:tcPr>
          <w:p w14:paraId="1DF52FBD">
            <w:pPr>
              <w:adjustRightInd w:val="0"/>
              <w:snapToGrid w:val="0"/>
              <w:jc w:val="center"/>
              <w:rPr>
                <w:rFonts w:asciiTheme="minorEastAsia" w:hAnsiTheme="minorEastAsia" w:eastAsiaTheme="minorEastAsia"/>
                <w:szCs w:val="21"/>
              </w:rPr>
            </w:pPr>
          </w:p>
        </w:tc>
      </w:tr>
      <w:tr w14:paraId="06F8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exact"/>
          <w:jc w:val="center"/>
        </w:trPr>
        <w:tc>
          <w:tcPr>
            <w:tcW w:w="1868" w:type="dxa"/>
            <w:vAlign w:val="center"/>
          </w:tcPr>
          <w:p w14:paraId="1B045D41">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统一社会</w:t>
            </w:r>
          </w:p>
          <w:p w14:paraId="12C89467">
            <w:pPr>
              <w:adjustRightInd w:val="0"/>
              <w:snapToGrid w:val="0"/>
              <w:jc w:val="center"/>
              <w:rPr>
                <w:rFonts w:asciiTheme="minorEastAsia" w:hAnsiTheme="minorEastAsia" w:eastAsiaTheme="minorEastAsia"/>
                <w:szCs w:val="21"/>
              </w:rPr>
            </w:pPr>
            <w:r>
              <w:rPr>
                <w:rFonts w:hint="eastAsia" w:asciiTheme="minorEastAsia" w:hAnsiTheme="minorEastAsia" w:eastAsiaTheme="minorEastAsia"/>
                <w:bCs/>
                <w:szCs w:val="21"/>
              </w:rPr>
              <w:t>信用代码</w:t>
            </w:r>
          </w:p>
        </w:tc>
        <w:tc>
          <w:tcPr>
            <w:tcW w:w="3670" w:type="dxa"/>
            <w:gridSpan w:val="2"/>
            <w:vAlign w:val="center"/>
          </w:tcPr>
          <w:p w14:paraId="5C009700">
            <w:pPr>
              <w:adjustRightInd w:val="0"/>
              <w:snapToGrid w:val="0"/>
              <w:jc w:val="center"/>
              <w:rPr>
                <w:rFonts w:asciiTheme="minorEastAsia" w:hAnsiTheme="minorEastAsia" w:eastAsiaTheme="minorEastAsia"/>
                <w:szCs w:val="21"/>
              </w:rPr>
            </w:pPr>
          </w:p>
        </w:tc>
        <w:tc>
          <w:tcPr>
            <w:tcW w:w="1648" w:type="dxa"/>
            <w:gridSpan w:val="2"/>
            <w:vAlign w:val="center"/>
          </w:tcPr>
          <w:p w14:paraId="1CF1079E">
            <w:pPr>
              <w:adjustRightInd w:val="0"/>
              <w:snapToGrid w:val="0"/>
              <w:jc w:val="center"/>
              <w:rPr>
                <w:rFonts w:asciiTheme="minorEastAsia" w:hAnsiTheme="minorEastAsia" w:eastAsiaTheme="minorEastAsia"/>
                <w:szCs w:val="21"/>
              </w:rPr>
            </w:pPr>
            <w:r>
              <w:rPr>
                <w:rFonts w:hint="eastAsia" w:asciiTheme="minorEastAsia" w:hAnsiTheme="minorEastAsia"/>
                <w:szCs w:val="21"/>
                <w:lang w:eastAsia="zh-CN"/>
              </w:rPr>
              <w:t>多仓协同身份</w:t>
            </w:r>
          </w:p>
        </w:tc>
        <w:tc>
          <w:tcPr>
            <w:tcW w:w="2589" w:type="dxa"/>
            <w:vAlign w:val="center"/>
          </w:tcPr>
          <w:p w14:paraId="1A32A110">
            <w:pPr>
              <w:adjustRightInd w:val="0"/>
              <w:snapToGrid w:val="0"/>
              <w:rPr>
                <w:rFonts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szCs w:val="21"/>
                <w:lang w:eastAsia="zh-CN"/>
              </w:rPr>
              <w:t>主体方</w:t>
            </w:r>
            <w:r>
              <w:rPr>
                <w:rFonts w:hint="eastAsia" w:asciiTheme="minorEastAsia" w:hAnsiTheme="minorEastAsia" w:eastAsiaTheme="minorEastAsia"/>
                <w:szCs w:val="21"/>
              </w:rPr>
              <w:t xml:space="preserve"> </w:t>
            </w:r>
            <w:r>
              <w:rPr>
                <w:rFonts w:hint="eastAsia" w:asciiTheme="minorEastAsia" w:hAnsiTheme="minorEastAsia"/>
                <w:szCs w:val="21"/>
                <w:lang w:val="en-US" w:eastAsia="zh-CN"/>
              </w:rPr>
              <w:t xml:space="preserve"> </w:t>
            </w:r>
            <w:r>
              <w:rPr>
                <w:rFonts w:hint="eastAsia" w:asciiTheme="minorEastAsia" w:hAnsiTheme="minorEastAsia" w:eastAsiaTheme="minorEastAsia"/>
                <w:szCs w:val="21"/>
              </w:rPr>
              <w:sym w:font="Wingdings 2" w:char="00A3"/>
            </w:r>
            <w:r>
              <w:rPr>
                <w:rFonts w:hint="eastAsia" w:asciiTheme="minorEastAsia" w:hAnsiTheme="minorEastAsia"/>
                <w:szCs w:val="21"/>
                <w:lang w:eastAsia="zh-CN"/>
              </w:rPr>
              <w:t>协同方</w:t>
            </w:r>
          </w:p>
        </w:tc>
      </w:tr>
      <w:tr w14:paraId="63BF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exact"/>
          <w:jc w:val="center"/>
        </w:trPr>
        <w:tc>
          <w:tcPr>
            <w:tcW w:w="1868" w:type="dxa"/>
            <w:vAlign w:val="center"/>
          </w:tcPr>
          <w:p w14:paraId="3009205A">
            <w:pPr>
              <w:adjustRightInd w:val="0"/>
              <w:snapToGrid w:val="0"/>
              <w:jc w:val="center"/>
              <w:rPr>
                <w:rFonts w:asciiTheme="minorEastAsia" w:hAnsiTheme="minorEastAsia" w:eastAsiaTheme="minorEastAsia"/>
                <w:szCs w:val="21"/>
              </w:rPr>
            </w:pPr>
            <w:r>
              <w:rPr>
                <w:rFonts w:hint="eastAsia" w:asciiTheme="minorEastAsia" w:hAnsiTheme="minorEastAsia" w:eastAsiaTheme="minorEastAsia"/>
                <w:szCs w:val="21"/>
              </w:rPr>
              <w:t>住    所</w:t>
            </w:r>
          </w:p>
        </w:tc>
        <w:tc>
          <w:tcPr>
            <w:tcW w:w="3670" w:type="dxa"/>
            <w:gridSpan w:val="2"/>
            <w:vAlign w:val="center"/>
          </w:tcPr>
          <w:p w14:paraId="6FA53622">
            <w:pPr>
              <w:adjustRightInd w:val="0"/>
              <w:snapToGrid w:val="0"/>
              <w:jc w:val="center"/>
              <w:rPr>
                <w:rFonts w:asciiTheme="minorEastAsia" w:hAnsiTheme="minorEastAsia" w:eastAsiaTheme="minorEastAsia"/>
                <w:szCs w:val="21"/>
              </w:rPr>
            </w:pPr>
          </w:p>
        </w:tc>
        <w:tc>
          <w:tcPr>
            <w:tcW w:w="1648" w:type="dxa"/>
            <w:gridSpan w:val="2"/>
            <w:vAlign w:val="center"/>
          </w:tcPr>
          <w:p w14:paraId="104D5F4F">
            <w:pPr>
              <w:adjustRightInd w:val="0"/>
              <w:snapToGrid w:val="0"/>
              <w:jc w:val="center"/>
              <w:rPr>
                <w:rFonts w:asciiTheme="minorEastAsia" w:hAnsiTheme="minorEastAsia" w:eastAsiaTheme="minorEastAsia"/>
                <w:szCs w:val="21"/>
              </w:rPr>
            </w:pPr>
            <w:r>
              <w:rPr>
                <w:rFonts w:hint="eastAsia" w:asciiTheme="minorEastAsia" w:hAnsiTheme="minorEastAsia"/>
                <w:szCs w:val="21"/>
                <w:lang w:eastAsia="zh-CN"/>
              </w:rPr>
              <w:t>器械经营资质</w:t>
            </w:r>
          </w:p>
        </w:tc>
        <w:tc>
          <w:tcPr>
            <w:tcW w:w="2589" w:type="dxa"/>
            <w:vAlign w:val="center"/>
          </w:tcPr>
          <w:p w14:paraId="5555BD92">
            <w:pPr>
              <w:adjustRightInd w:val="0"/>
              <w:snapToGrid w:val="0"/>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szCs w:val="21"/>
                <w:lang w:eastAsia="zh-CN"/>
              </w:rPr>
              <w:t>许可证：</w:t>
            </w:r>
            <w:r>
              <w:rPr>
                <w:rFonts w:hint="eastAsia" w:asciiTheme="minorEastAsia" w:hAnsiTheme="minorEastAsia" w:eastAsiaTheme="minorEastAsia"/>
                <w:szCs w:val="21"/>
              </w:rPr>
              <w:t xml:space="preserve"> </w:t>
            </w:r>
          </w:p>
          <w:p w14:paraId="59E69D53">
            <w:pPr>
              <w:adjustRightInd w:val="0"/>
              <w:snapToGrid w:val="0"/>
              <w:jc w:val="both"/>
              <w:rPr>
                <w:rFonts w:asciiTheme="minorEastAsia" w:hAnsiTheme="minorEastAsia" w:eastAsiaTheme="minorEastAsia"/>
                <w:szCs w:val="21"/>
              </w:rPr>
            </w:pPr>
            <w:r>
              <w:rPr>
                <w:rFonts w:hint="eastAsia" w:asciiTheme="minorEastAsia" w:hAnsiTheme="minorEastAsia" w:eastAsiaTheme="minorEastAsia"/>
                <w:szCs w:val="21"/>
              </w:rPr>
              <w:sym w:font="Wingdings 2" w:char="00A3"/>
            </w:r>
            <w:r>
              <w:rPr>
                <w:rFonts w:hint="eastAsia" w:asciiTheme="minorEastAsia" w:hAnsiTheme="minorEastAsia"/>
                <w:szCs w:val="21"/>
                <w:lang w:eastAsia="zh-CN"/>
              </w:rPr>
              <w:t>二类备案：</w:t>
            </w:r>
          </w:p>
        </w:tc>
      </w:tr>
      <w:tr w14:paraId="05C86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1" w:hRule="exact"/>
          <w:jc w:val="center"/>
        </w:trPr>
        <w:tc>
          <w:tcPr>
            <w:tcW w:w="1868" w:type="dxa"/>
            <w:vAlign w:val="center"/>
          </w:tcPr>
          <w:p w14:paraId="3F7FF3F5">
            <w:pPr>
              <w:adjustRightInd w:val="0"/>
              <w:snapToGrid w:val="0"/>
              <w:jc w:val="center"/>
              <w:rPr>
                <w:rFonts w:hint="eastAsia" w:asciiTheme="minorEastAsia" w:hAnsiTheme="minorEastAsia" w:eastAsiaTheme="minorEastAsia"/>
                <w:szCs w:val="21"/>
                <w:lang w:eastAsia="zh-CN"/>
              </w:rPr>
            </w:pPr>
            <w:r>
              <w:rPr>
                <w:rFonts w:hint="eastAsia" w:asciiTheme="minorEastAsia" w:hAnsiTheme="minorEastAsia"/>
                <w:szCs w:val="21"/>
                <w:lang w:eastAsia="zh-CN"/>
              </w:rPr>
              <w:t>经营场所</w:t>
            </w:r>
          </w:p>
        </w:tc>
        <w:tc>
          <w:tcPr>
            <w:tcW w:w="3670" w:type="dxa"/>
            <w:gridSpan w:val="2"/>
            <w:vAlign w:val="center"/>
          </w:tcPr>
          <w:p w14:paraId="6A1CA5ED">
            <w:pPr>
              <w:adjustRightInd w:val="0"/>
              <w:snapToGrid w:val="0"/>
              <w:jc w:val="center"/>
              <w:rPr>
                <w:rFonts w:asciiTheme="minorEastAsia" w:hAnsiTheme="minorEastAsia" w:eastAsiaTheme="minorEastAsia"/>
                <w:szCs w:val="21"/>
              </w:rPr>
            </w:pPr>
          </w:p>
        </w:tc>
        <w:tc>
          <w:tcPr>
            <w:tcW w:w="1648" w:type="dxa"/>
            <w:gridSpan w:val="2"/>
            <w:vAlign w:val="center"/>
          </w:tcPr>
          <w:p w14:paraId="1FBA56F2">
            <w:pPr>
              <w:adjustRightInd w:val="0"/>
              <w:snapToGrid w:val="0"/>
              <w:jc w:val="center"/>
              <w:rPr>
                <w:rFonts w:hint="eastAsia" w:asciiTheme="minorEastAsia" w:hAnsiTheme="minorEastAsia" w:eastAsiaTheme="minorEastAsia"/>
                <w:szCs w:val="21"/>
                <w:lang w:eastAsia="zh-CN"/>
              </w:rPr>
            </w:pPr>
            <w:r>
              <w:rPr>
                <w:rFonts w:hint="eastAsia" w:asciiTheme="minorEastAsia" w:hAnsiTheme="minorEastAsia"/>
                <w:szCs w:val="21"/>
                <w:lang w:eastAsia="zh-CN"/>
              </w:rPr>
              <w:t>参与合作仓库地址</w:t>
            </w:r>
          </w:p>
        </w:tc>
        <w:tc>
          <w:tcPr>
            <w:tcW w:w="2589" w:type="dxa"/>
            <w:vAlign w:val="center"/>
          </w:tcPr>
          <w:p w14:paraId="3208FE62">
            <w:pPr>
              <w:adjustRightInd w:val="0"/>
              <w:snapToGrid w:val="0"/>
              <w:jc w:val="center"/>
              <w:rPr>
                <w:rFonts w:asciiTheme="minorEastAsia" w:hAnsiTheme="minorEastAsia" w:eastAsiaTheme="minorEastAsia"/>
                <w:szCs w:val="21"/>
              </w:rPr>
            </w:pPr>
          </w:p>
        </w:tc>
      </w:tr>
      <w:tr w14:paraId="19A5E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5" w:hRule="exact"/>
          <w:jc w:val="center"/>
        </w:trPr>
        <w:tc>
          <w:tcPr>
            <w:tcW w:w="1868" w:type="dxa"/>
            <w:vMerge w:val="restart"/>
            <w:vAlign w:val="center"/>
          </w:tcPr>
          <w:p w14:paraId="09A8616B">
            <w:pPr>
              <w:adjustRightInd w:val="0"/>
              <w:snapToGrid w:val="0"/>
              <w:jc w:val="center"/>
              <w:rPr>
                <w:rFonts w:asciiTheme="minorEastAsia" w:hAnsiTheme="minorEastAsia" w:eastAsiaTheme="minorEastAsia"/>
                <w:szCs w:val="21"/>
              </w:rPr>
            </w:pPr>
            <w:r>
              <w:rPr>
                <w:rFonts w:hint="eastAsia" w:asciiTheme="minorEastAsia" w:hAnsiTheme="minorEastAsia" w:eastAsiaTheme="minorEastAsia"/>
                <w:szCs w:val="21"/>
              </w:rPr>
              <w:t>库房情况</w:t>
            </w:r>
          </w:p>
        </w:tc>
        <w:tc>
          <w:tcPr>
            <w:tcW w:w="2627" w:type="dxa"/>
            <w:vAlign w:val="center"/>
          </w:tcPr>
          <w:p w14:paraId="5C05E0FD">
            <w:pPr>
              <w:adjustRightInd w:val="0"/>
              <w:snapToGrid w:val="0"/>
              <w:jc w:val="center"/>
              <w:rPr>
                <w:rFonts w:asciiTheme="minorEastAsia" w:hAnsiTheme="minorEastAsia" w:eastAsiaTheme="minorEastAsia"/>
                <w:szCs w:val="21"/>
              </w:rPr>
            </w:pPr>
            <w:r>
              <w:rPr>
                <w:rFonts w:hint="eastAsia" w:asciiTheme="minorEastAsia" w:hAnsiTheme="minorEastAsia"/>
                <w:szCs w:val="21"/>
                <w:lang w:eastAsia="zh-CN"/>
              </w:rPr>
              <w:t>库房</w:t>
            </w:r>
            <w:r>
              <w:rPr>
                <w:rFonts w:hint="eastAsia" w:asciiTheme="minorEastAsia" w:hAnsiTheme="minorEastAsia" w:eastAsiaTheme="minorEastAsia"/>
                <w:szCs w:val="21"/>
              </w:rPr>
              <w:t>面积（㎡</w:t>
            </w:r>
            <w:bookmarkStart w:id="0" w:name="_GoBack"/>
            <w:r>
              <w:rPr>
                <w:rFonts w:hint="eastAsia" w:asciiTheme="minorEastAsia" w:hAnsiTheme="minorEastAsia"/>
                <w:szCs w:val="21"/>
                <w:lang w:eastAsia="zh-CN"/>
              </w:rPr>
              <w:t>）</w:t>
            </w:r>
            <w:bookmarkEnd w:id="0"/>
          </w:p>
        </w:tc>
        <w:tc>
          <w:tcPr>
            <w:tcW w:w="5280" w:type="dxa"/>
            <w:gridSpan w:val="4"/>
            <w:vAlign w:val="center"/>
          </w:tcPr>
          <w:p w14:paraId="1324CE8B">
            <w:pPr>
              <w:adjustRightInd w:val="0"/>
              <w:snapToGrid w:val="0"/>
              <w:jc w:val="center"/>
              <w:rPr>
                <w:rFonts w:hint="eastAsia" w:asciiTheme="minorEastAsia" w:hAnsiTheme="minorEastAsia" w:eastAsiaTheme="minorEastAsia"/>
                <w:szCs w:val="21"/>
                <w:lang w:eastAsia="zh-CN"/>
              </w:rPr>
            </w:pPr>
            <w:r>
              <w:rPr>
                <w:rFonts w:hint="eastAsia" w:asciiTheme="minorEastAsia" w:hAnsiTheme="minorEastAsia"/>
                <w:szCs w:val="21"/>
                <w:lang w:eastAsia="zh-CN"/>
              </w:rPr>
              <w:t>库房条件</w:t>
            </w:r>
            <w:r>
              <w:rPr>
                <w:rFonts w:hint="eastAsia" w:asciiTheme="minorEastAsia" w:hAnsiTheme="minorEastAsia" w:eastAsiaTheme="minorEastAsia"/>
                <w:szCs w:val="21"/>
              </w:rPr>
              <w:t>（包括环境控制、设施设备等）</w:t>
            </w:r>
          </w:p>
        </w:tc>
      </w:tr>
      <w:tr w14:paraId="1060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exact"/>
          <w:jc w:val="center"/>
        </w:trPr>
        <w:tc>
          <w:tcPr>
            <w:tcW w:w="1868" w:type="dxa"/>
            <w:vMerge w:val="continue"/>
            <w:vAlign w:val="center"/>
          </w:tcPr>
          <w:p w14:paraId="32316A0B">
            <w:pPr>
              <w:adjustRightInd w:val="0"/>
              <w:snapToGrid w:val="0"/>
              <w:rPr>
                <w:rFonts w:asciiTheme="minorEastAsia" w:hAnsiTheme="minorEastAsia" w:eastAsiaTheme="minorEastAsia"/>
                <w:szCs w:val="21"/>
              </w:rPr>
            </w:pPr>
          </w:p>
        </w:tc>
        <w:tc>
          <w:tcPr>
            <w:tcW w:w="2627" w:type="dxa"/>
            <w:vAlign w:val="center"/>
          </w:tcPr>
          <w:p w14:paraId="5B95AEBB">
            <w:pPr>
              <w:adjustRightInd w:val="0"/>
              <w:snapToGrid w:val="0"/>
              <w:jc w:val="center"/>
              <w:rPr>
                <w:rFonts w:asciiTheme="minorEastAsia" w:hAnsiTheme="minorEastAsia" w:eastAsiaTheme="minorEastAsia"/>
                <w:szCs w:val="21"/>
              </w:rPr>
            </w:pPr>
          </w:p>
        </w:tc>
        <w:tc>
          <w:tcPr>
            <w:tcW w:w="5280" w:type="dxa"/>
            <w:gridSpan w:val="4"/>
            <w:vAlign w:val="center"/>
          </w:tcPr>
          <w:p w14:paraId="0902A4D7">
            <w:pPr>
              <w:adjustRightInd w:val="0"/>
              <w:snapToGrid w:val="0"/>
              <w:jc w:val="center"/>
              <w:rPr>
                <w:rFonts w:asciiTheme="minorEastAsia" w:hAnsiTheme="minorEastAsia" w:eastAsiaTheme="minorEastAsia"/>
                <w:szCs w:val="21"/>
              </w:rPr>
            </w:pPr>
          </w:p>
        </w:tc>
      </w:tr>
      <w:tr w14:paraId="57CB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exact"/>
          <w:jc w:val="center"/>
        </w:trPr>
        <w:tc>
          <w:tcPr>
            <w:tcW w:w="1868" w:type="dxa"/>
            <w:vMerge w:val="restart"/>
            <w:vAlign w:val="center"/>
          </w:tcPr>
          <w:p w14:paraId="18A89936">
            <w:pPr>
              <w:adjustRightInd w:val="0"/>
              <w:snapToGrid w:val="0"/>
              <w:ind w:firstLine="420" w:firstLineChars="200"/>
              <w:rPr>
                <w:rFonts w:hint="eastAsia" w:asciiTheme="minorEastAsia" w:hAnsiTheme="minorEastAsia" w:eastAsiaTheme="minorEastAsia"/>
                <w:szCs w:val="21"/>
                <w:lang w:eastAsia="zh-CN"/>
              </w:rPr>
            </w:pPr>
            <w:r>
              <w:rPr>
                <w:rFonts w:hint="eastAsia" w:asciiTheme="minorEastAsia" w:hAnsiTheme="minorEastAsia"/>
                <w:szCs w:val="21"/>
                <w:lang w:eastAsia="zh-CN"/>
              </w:rPr>
              <w:t>审批办理</w:t>
            </w:r>
          </w:p>
        </w:tc>
        <w:tc>
          <w:tcPr>
            <w:tcW w:w="2627" w:type="dxa"/>
            <w:vAlign w:val="center"/>
          </w:tcPr>
          <w:p w14:paraId="0D3617D7">
            <w:pPr>
              <w:adjustRightInd w:val="0"/>
              <w:snapToGrid w:val="0"/>
              <w:ind w:firstLine="420" w:firstLineChars="200"/>
              <w:rPr>
                <w:rFonts w:hint="eastAsia" w:asciiTheme="minorEastAsia" w:hAnsiTheme="minorEastAsia" w:eastAsiaTheme="minorEastAsia"/>
                <w:szCs w:val="21"/>
                <w:lang w:eastAsia="zh-CN"/>
              </w:rPr>
            </w:pPr>
            <w:r>
              <w:rPr>
                <w:rFonts w:hint="eastAsia" w:asciiTheme="minorEastAsia" w:hAnsiTheme="minorEastAsia"/>
                <w:szCs w:val="21"/>
                <w:lang w:eastAsia="zh-CN"/>
              </w:rPr>
              <w:t>现场检查部门</w:t>
            </w:r>
          </w:p>
        </w:tc>
        <w:tc>
          <w:tcPr>
            <w:tcW w:w="5280" w:type="dxa"/>
            <w:gridSpan w:val="4"/>
            <w:vAlign w:val="center"/>
          </w:tcPr>
          <w:p w14:paraId="0FDF035E">
            <w:pPr>
              <w:adjustRightInd w:val="0"/>
              <w:snapToGrid w:val="0"/>
              <w:rPr>
                <w:rFonts w:asciiTheme="minorEastAsia" w:hAnsiTheme="minorEastAsia" w:eastAsiaTheme="minorEastAsia"/>
                <w:szCs w:val="21"/>
              </w:rPr>
            </w:pPr>
          </w:p>
        </w:tc>
      </w:tr>
      <w:tr w14:paraId="470D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exact"/>
          <w:jc w:val="center"/>
        </w:trPr>
        <w:tc>
          <w:tcPr>
            <w:tcW w:w="1868" w:type="dxa"/>
            <w:vMerge w:val="continue"/>
            <w:vAlign w:val="center"/>
          </w:tcPr>
          <w:p w14:paraId="5C1A10B6">
            <w:pPr>
              <w:adjustRightInd w:val="0"/>
              <w:snapToGrid w:val="0"/>
              <w:rPr>
                <w:rFonts w:asciiTheme="minorEastAsia" w:hAnsiTheme="minorEastAsia" w:eastAsiaTheme="minorEastAsia"/>
                <w:szCs w:val="21"/>
              </w:rPr>
            </w:pPr>
          </w:p>
        </w:tc>
        <w:tc>
          <w:tcPr>
            <w:tcW w:w="2627" w:type="dxa"/>
            <w:vAlign w:val="center"/>
          </w:tcPr>
          <w:p w14:paraId="74BB94AF">
            <w:pPr>
              <w:adjustRightInd w:val="0"/>
              <w:snapToGrid w:val="0"/>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 xml:space="preserve">      审批时间</w:t>
            </w:r>
          </w:p>
        </w:tc>
        <w:tc>
          <w:tcPr>
            <w:tcW w:w="5280" w:type="dxa"/>
            <w:gridSpan w:val="4"/>
            <w:vAlign w:val="center"/>
          </w:tcPr>
          <w:p w14:paraId="76FF3D49">
            <w:pPr>
              <w:adjustRightInd w:val="0"/>
              <w:snapToGrid w:val="0"/>
              <w:rPr>
                <w:rFonts w:asciiTheme="minorEastAsia" w:hAnsiTheme="minorEastAsia" w:eastAsiaTheme="minorEastAsia"/>
                <w:szCs w:val="21"/>
              </w:rPr>
            </w:pPr>
          </w:p>
        </w:tc>
      </w:tr>
      <w:tr w14:paraId="7D7B5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3" w:hRule="exact"/>
          <w:jc w:val="center"/>
        </w:trPr>
        <w:tc>
          <w:tcPr>
            <w:tcW w:w="9775" w:type="dxa"/>
            <w:gridSpan w:val="6"/>
            <w:vAlign w:val="center"/>
          </w:tcPr>
          <w:p w14:paraId="63FB4DB4">
            <w:pPr>
              <w:adjustRightInd w:val="0"/>
              <w:snapToGrid w:val="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 xml:space="preserve">                                    </w:t>
            </w:r>
          </w:p>
          <w:p w14:paraId="4A619903">
            <w:pPr>
              <w:adjustRightInd w:val="0"/>
              <w:snapToGrid w:val="0"/>
              <w:ind w:firstLine="6195" w:firstLineChars="2950"/>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szCs w:val="21"/>
                <w:lang w:eastAsia="zh-CN"/>
              </w:rPr>
              <w:t>区市场监管部门盖章</w:t>
            </w:r>
            <w:r>
              <w:rPr>
                <w:rFonts w:hint="eastAsia" w:asciiTheme="minorEastAsia" w:hAnsiTheme="minorEastAsia" w:eastAsiaTheme="minorEastAsia"/>
                <w:szCs w:val="21"/>
              </w:rPr>
              <w:t>）</w:t>
            </w:r>
          </w:p>
          <w:p w14:paraId="61388BC3">
            <w:pPr>
              <w:adjustRightInd w:val="0"/>
              <w:snapToGrid w:val="0"/>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szCs w:val="21"/>
                <w:lang w:val="en-US" w:eastAsia="zh-CN"/>
              </w:rPr>
              <w:t xml:space="preserve">       </w:t>
            </w:r>
            <w:r>
              <w:rPr>
                <w:rFonts w:hint="eastAsia" w:asciiTheme="minorEastAsia" w:hAnsiTheme="minorEastAsia" w:eastAsiaTheme="minorEastAsia"/>
                <w:szCs w:val="21"/>
              </w:rPr>
              <w:t xml:space="preserve"> 年    月    日</w:t>
            </w:r>
          </w:p>
        </w:tc>
      </w:tr>
    </w:tbl>
    <w:p w14:paraId="69E3DFCC">
      <w:pPr>
        <w:spacing w:line="560" w:lineRule="exact"/>
        <w:rPr>
          <w:rFonts w:hint="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ans-serif">
    <w:altName w:val="仿宋"/>
    <w:panose1 w:val="00000000000000000000"/>
    <w:charset w:val="00"/>
    <w:family w:val="auto"/>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8CF06">
    <w:pPr>
      <w:pStyle w:val="17"/>
      <w:rPr>
        <w:rFonts w:hint="eastAsia"/>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759250">
                          <w:pPr>
                            <w:pStyle w:val="17"/>
                            <w:rPr>
                              <w:rFonts w:hint="eastAsia"/>
                            </w:rPr>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2759250">
                    <w:pPr>
                      <w:pStyle w:val="17"/>
                      <w:rPr>
                        <w:rFonts w:hint="eastAsia"/>
                      </w:rPr>
                    </w:pPr>
                    <w:r>
                      <w:fldChar w:fldCharType="begin"/>
                    </w:r>
                    <w:r>
                      <w:instrText xml:space="preserve"> PAGE  \* MERGEFORMAT </w:instrText>
                    </w:r>
                    <w:r>
                      <w:fldChar w:fldCharType="separate"/>
                    </w:r>
                    <w:r>
                      <w:t>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E1BFE"/>
    <w:multiLevelType w:val="singleLevel"/>
    <w:tmpl w:val="FFFE1BF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1BB"/>
    <w:rsid w:val="000704B2"/>
    <w:rsid w:val="000A5F0C"/>
    <w:rsid w:val="000B7C1E"/>
    <w:rsid w:val="000C6D8D"/>
    <w:rsid w:val="000D62E2"/>
    <w:rsid w:val="000F74EF"/>
    <w:rsid w:val="00113A87"/>
    <w:rsid w:val="00117A37"/>
    <w:rsid w:val="00143DFD"/>
    <w:rsid w:val="001955FF"/>
    <w:rsid w:val="001F3917"/>
    <w:rsid w:val="0021723A"/>
    <w:rsid w:val="00251319"/>
    <w:rsid w:val="00281E59"/>
    <w:rsid w:val="002B05BC"/>
    <w:rsid w:val="002B7ED2"/>
    <w:rsid w:val="002E0373"/>
    <w:rsid w:val="0032241C"/>
    <w:rsid w:val="00346B46"/>
    <w:rsid w:val="004354AE"/>
    <w:rsid w:val="0048622E"/>
    <w:rsid w:val="004A2D46"/>
    <w:rsid w:val="004A6FB5"/>
    <w:rsid w:val="004E3701"/>
    <w:rsid w:val="00561900"/>
    <w:rsid w:val="00563A69"/>
    <w:rsid w:val="006D2E86"/>
    <w:rsid w:val="007B0268"/>
    <w:rsid w:val="00804504"/>
    <w:rsid w:val="008961F0"/>
    <w:rsid w:val="008E5955"/>
    <w:rsid w:val="008F43DD"/>
    <w:rsid w:val="008F6BD6"/>
    <w:rsid w:val="009272D6"/>
    <w:rsid w:val="00932EC0"/>
    <w:rsid w:val="009825A7"/>
    <w:rsid w:val="009840EF"/>
    <w:rsid w:val="009B2D97"/>
    <w:rsid w:val="009C16F2"/>
    <w:rsid w:val="009F7639"/>
    <w:rsid w:val="00A706A8"/>
    <w:rsid w:val="00A95A3E"/>
    <w:rsid w:val="00AA6629"/>
    <w:rsid w:val="00AF37D9"/>
    <w:rsid w:val="00AF445A"/>
    <w:rsid w:val="00AF7A23"/>
    <w:rsid w:val="00B73C47"/>
    <w:rsid w:val="00B93DE5"/>
    <w:rsid w:val="00BB49EC"/>
    <w:rsid w:val="00BF0D69"/>
    <w:rsid w:val="00C136CF"/>
    <w:rsid w:val="00C51DE3"/>
    <w:rsid w:val="00C67947"/>
    <w:rsid w:val="00CA14B6"/>
    <w:rsid w:val="00CE3E96"/>
    <w:rsid w:val="00D71895"/>
    <w:rsid w:val="00D903BB"/>
    <w:rsid w:val="00DB20DB"/>
    <w:rsid w:val="00E003B2"/>
    <w:rsid w:val="00E301BB"/>
    <w:rsid w:val="00E605A8"/>
    <w:rsid w:val="00E807F4"/>
    <w:rsid w:val="00E91360"/>
    <w:rsid w:val="00EB501C"/>
    <w:rsid w:val="00ED71DB"/>
    <w:rsid w:val="00EE0825"/>
    <w:rsid w:val="00EF5292"/>
    <w:rsid w:val="00F05FE6"/>
    <w:rsid w:val="00FD1B36"/>
    <w:rsid w:val="00FE0DDB"/>
    <w:rsid w:val="15F3D776"/>
    <w:rsid w:val="1AD144DA"/>
    <w:rsid w:val="1B9E1666"/>
    <w:rsid w:val="1D97E8D3"/>
    <w:rsid w:val="1DCD76D0"/>
    <w:rsid w:val="1F6E6302"/>
    <w:rsid w:val="2E59BFCF"/>
    <w:rsid w:val="3D7F4364"/>
    <w:rsid w:val="3E9785C3"/>
    <w:rsid w:val="3F793F8C"/>
    <w:rsid w:val="562F0342"/>
    <w:rsid w:val="576BCB4E"/>
    <w:rsid w:val="5B7EE40B"/>
    <w:rsid w:val="5BA92698"/>
    <w:rsid w:val="5DE5E632"/>
    <w:rsid w:val="5DEDAD86"/>
    <w:rsid w:val="5EDFE9CB"/>
    <w:rsid w:val="5F74164B"/>
    <w:rsid w:val="5F9FE072"/>
    <w:rsid w:val="5FDF0F4B"/>
    <w:rsid w:val="653888D9"/>
    <w:rsid w:val="67FFE5E4"/>
    <w:rsid w:val="68C478B4"/>
    <w:rsid w:val="6D3F5050"/>
    <w:rsid w:val="6D815EB7"/>
    <w:rsid w:val="6FFEB586"/>
    <w:rsid w:val="737F3E0B"/>
    <w:rsid w:val="73DC8ED9"/>
    <w:rsid w:val="74DFD52D"/>
    <w:rsid w:val="7537B0AB"/>
    <w:rsid w:val="77FC64CB"/>
    <w:rsid w:val="7A9C0621"/>
    <w:rsid w:val="7AF57093"/>
    <w:rsid w:val="7AFBC158"/>
    <w:rsid w:val="7BB9B47D"/>
    <w:rsid w:val="7BBDFC68"/>
    <w:rsid w:val="7C7FA12C"/>
    <w:rsid w:val="7D935649"/>
    <w:rsid w:val="7DAF71E4"/>
    <w:rsid w:val="7DEFAA0C"/>
    <w:rsid w:val="7E5FA83F"/>
    <w:rsid w:val="7ED7CBE4"/>
    <w:rsid w:val="7EFD57ED"/>
    <w:rsid w:val="7F5F0093"/>
    <w:rsid w:val="7F736263"/>
    <w:rsid w:val="7F876EBB"/>
    <w:rsid w:val="7FDF1345"/>
    <w:rsid w:val="7FEEED6C"/>
    <w:rsid w:val="7FFD39D3"/>
    <w:rsid w:val="7FFFFA9E"/>
    <w:rsid w:val="99FEA77A"/>
    <w:rsid w:val="9D3FEBA8"/>
    <w:rsid w:val="9F3FD87E"/>
    <w:rsid w:val="9FAFDF7D"/>
    <w:rsid w:val="A7FF3053"/>
    <w:rsid w:val="AAFFF98C"/>
    <w:rsid w:val="B75D512F"/>
    <w:rsid w:val="B9FBAB0F"/>
    <w:rsid w:val="BB378E5B"/>
    <w:rsid w:val="BEFB870E"/>
    <w:rsid w:val="BFA74815"/>
    <w:rsid w:val="C3FDFBB1"/>
    <w:rsid w:val="CCFF6731"/>
    <w:rsid w:val="CE77BA2F"/>
    <w:rsid w:val="DB3CE939"/>
    <w:rsid w:val="DF2F5D62"/>
    <w:rsid w:val="DFF3FB97"/>
    <w:rsid w:val="DFF7DEA0"/>
    <w:rsid w:val="E1FBFD18"/>
    <w:rsid w:val="E7FE0CCA"/>
    <w:rsid w:val="EB3B0337"/>
    <w:rsid w:val="EB7F5CDD"/>
    <w:rsid w:val="EBEF139A"/>
    <w:rsid w:val="EBFDFBFC"/>
    <w:rsid w:val="ED7F0A39"/>
    <w:rsid w:val="EEDAC48A"/>
    <w:rsid w:val="EFBED1CA"/>
    <w:rsid w:val="F327BE7B"/>
    <w:rsid w:val="F3F719CB"/>
    <w:rsid w:val="F49F5C07"/>
    <w:rsid w:val="F7D658FC"/>
    <w:rsid w:val="F7F50799"/>
    <w:rsid w:val="F7FEC059"/>
    <w:rsid w:val="F9FDA531"/>
    <w:rsid w:val="FB7E7DA0"/>
    <w:rsid w:val="FBED2A2A"/>
    <w:rsid w:val="FCFF369F"/>
    <w:rsid w:val="FD4B1725"/>
    <w:rsid w:val="FDF74AC9"/>
    <w:rsid w:val="FE3FC295"/>
    <w:rsid w:val="FEFEEF9D"/>
    <w:rsid w:val="FF1F7773"/>
    <w:rsid w:val="FF7625A6"/>
    <w:rsid w:val="FFB75285"/>
    <w:rsid w:val="FFCE3315"/>
    <w:rsid w:val="FFDEBD4B"/>
    <w:rsid w:val="FFE7CA54"/>
    <w:rsid w:val="FFF92DE0"/>
    <w:rsid w:val="FFFA54A2"/>
    <w:rsid w:val="FFFEE3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5">
    <w:name w:val="heading 1"/>
    <w:basedOn w:val="1"/>
    <w:next w:val="1"/>
    <w:link w:val="2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6">
    <w:name w:val="heading 2"/>
    <w:basedOn w:val="1"/>
    <w:next w:val="1"/>
    <w:link w:val="2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7">
    <w:name w:val="heading 3"/>
    <w:basedOn w:val="1"/>
    <w:next w:val="1"/>
    <w:link w:val="3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8">
    <w:name w:val="heading 4"/>
    <w:basedOn w:val="1"/>
    <w:next w:val="1"/>
    <w:link w:val="3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9">
    <w:name w:val="heading 5"/>
    <w:basedOn w:val="1"/>
    <w:next w:val="1"/>
    <w:link w:val="3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10">
    <w:name w:val="heading 6"/>
    <w:basedOn w:val="1"/>
    <w:next w:val="1"/>
    <w:link w:val="33"/>
    <w:semiHidden/>
    <w:unhideWhenUsed/>
    <w:qFormat/>
    <w:uiPriority w:val="9"/>
    <w:pPr>
      <w:keepNext/>
      <w:keepLines/>
      <w:spacing w:before="40"/>
      <w:outlineLvl w:val="5"/>
    </w:pPr>
    <w:rPr>
      <w:rFonts w:cstheme="majorBidi"/>
      <w:b/>
      <w:bCs/>
      <w:color w:val="104862" w:themeColor="accent1" w:themeShade="BF"/>
    </w:rPr>
  </w:style>
  <w:style w:type="paragraph" w:styleId="11">
    <w:name w:val="heading 7"/>
    <w:basedOn w:val="1"/>
    <w:next w:val="1"/>
    <w:link w:val="3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2">
    <w:name w:val="heading 8"/>
    <w:basedOn w:val="1"/>
    <w:next w:val="1"/>
    <w:link w:val="3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3">
    <w:name w:val="heading 9"/>
    <w:basedOn w:val="1"/>
    <w:next w:val="1"/>
    <w:link w:val="3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4"/>
    <w:semiHidden/>
    <w:qFormat/>
    <w:uiPriority w:val="0"/>
    <w:rPr>
      <w:rFonts w:ascii="Arial" w:hAnsi="Arial" w:eastAsia="Arial" w:cs="Arial"/>
      <w:sz w:val="21"/>
      <w:szCs w:val="21"/>
      <w:lang w:val="en-US" w:eastAsia="en-US" w:bidi="ar-SA"/>
    </w:rPr>
  </w:style>
  <w:style w:type="paragraph" w:customStyle="1" w:styleId="4">
    <w:name w:val="目录 11"/>
    <w:next w:val="1"/>
    <w:qFormat/>
    <w:uiPriority w:val="0"/>
    <w:pPr>
      <w:wordWrap w:val="0"/>
      <w:jc w:val="both"/>
    </w:pPr>
    <w:rPr>
      <w:rFonts w:ascii="Calibri" w:hAnsi="Calibri" w:eastAsia="宋体" w:cs="Times New Roman"/>
      <w:sz w:val="21"/>
      <w:szCs w:val="22"/>
      <w:lang w:val="en-US" w:eastAsia="zh-CN" w:bidi="ar-SA"/>
    </w:rPr>
  </w:style>
  <w:style w:type="paragraph" w:styleId="14">
    <w:name w:val="Normal Indent"/>
    <w:basedOn w:val="1"/>
    <w:semiHidden/>
    <w:unhideWhenUsed/>
    <w:qFormat/>
    <w:uiPriority w:val="99"/>
    <w:pPr>
      <w:ind w:firstLine="420" w:firstLineChars="200"/>
    </w:pPr>
  </w:style>
  <w:style w:type="paragraph" w:styleId="15">
    <w:name w:val="annotation text"/>
    <w:basedOn w:val="1"/>
    <w:link w:val="48"/>
    <w:unhideWhenUsed/>
    <w:qFormat/>
    <w:uiPriority w:val="99"/>
    <w:pPr>
      <w:jc w:val="left"/>
    </w:pPr>
  </w:style>
  <w:style w:type="paragraph" w:styleId="16">
    <w:name w:val="Balloon Text"/>
    <w:basedOn w:val="1"/>
    <w:link w:val="50"/>
    <w:semiHidden/>
    <w:unhideWhenUsed/>
    <w:qFormat/>
    <w:uiPriority w:val="99"/>
    <w:rPr>
      <w:sz w:val="18"/>
      <w:szCs w:val="18"/>
    </w:rPr>
  </w:style>
  <w:style w:type="paragraph" w:styleId="17">
    <w:name w:val="footer"/>
    <w:basedOn w:val="1"/>
    <w:link w:val="47"/>
    <w:unhideWhenUsed/>
    <w:qFormat/>
    <w:uiPriority w:val="99"/>
    <w:pPr>
      <w:tabs>
        <w:tab w:val="center" w:pos="4153"/>
        <w:tab w:val="right" w:pos="8306"/>
      </w:tabs>
      <w:snapToGrid w:val="0"/>
      <w:jc w:val="left"/>
    </w:pPr>
    <w:rPr>
      <w:sz w:val="18"/>
      <w:szCs w:val="18"/>
    </w:rPr>
  </w:style>
  <w:style w:type="paragraph" w:styleId="18">
    <w:name w:val="header"/>
    <w:basedOn w:val="1"/>
    <w:link w:val="46"/>
    <w:unhideWhenUsed/>
    <w:qFormat/>
    <w:uiPriority w:val="99"/>
    <w:pPr>
      <w:tabs>
        <w:tab w:val="center" w:pos="4153"/>
        <w:tab w:val="right" w:pos="8306"/>
      </w:tabs>
      <w:snapToGrid w:val="0"/>
      <w:jc w:val="center"/>
    </w:pPr>
    <w:rPr>
      <w:sz w:val="18"/>
      <w:szCs w:val="18"/>
    </w:rPr>
  </w:style>
  <w:style w:type="paragraph" w:styleId="19">
    <w:name w:val="Subtitle"/>
    <w:basedOn w:val="1"/>
    <w:next w:val="1"/>
    <w:link w:val="3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0">
    <w:name w:val="Normal (Web)"/>
    <w:basedOn w:val="1"/>
    <w:qFormat/>
    <w:uiPriority w:val="0"/>
    <w:pPr>
      <w:spacing w:beforeAutospacing="1" w:afterAutospacing="1"/>
      <w:jc w:val="left"/>
    </w:pPr>
    <w:rPr>
      <w:rFonts w:cs="Times New Roman"/>
      <w:kern w:val="0"/>
      <w:sz w:val="24"/>
    </w:rPr>
  </w:style>
  <w:style w:type="paragraph" w:styleId="21">
    <w:name w:val="Title"/>
    <w:basedOn w:val="1"/>
    <w:next w:val="1"/>
    <w:link w:val="37"/>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2">
    <w:name w:val="annotation subject"/>
    <w:basedOn w:val="15"/>
    <w:next w:val="15"/>
    <w:link w:val="49"/>
    <w:semiHidden/>
    <w:unhideWhenUsed/>
    <w:qFormat/>
    <w:uiPriority w:val="99"/>
    <w:rPr>
      <w:b/>
      <w:bCs/>
    </w:rPr>
  </w:style>
  <w:style w:type="table" w:styleId="24">
    <w:name w:val="Table Grid"/>
    <w:basedOn w:val="2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basedOn w:val="25"/>
    <w:semiHidden/>
    <w:unhideWhenUsed/>
    <w:qFormat/>
    <w:uiPriority w:val="99"/>
    <w:rPr>
      <w:color w:val="0000FF"/>
      <w:u w:val="single"/>
    </w:rPr>
  </w:style>
  <w:style w:type="character" w:styleId="27">
    <w:name w:val="annotation reference"/>
    <w:basedOn w:val="25"/>
    <w:semiHidden/>
    <w:unhideWhenUsed/>
    <w:qFormat/>
    <w:uiPriority w:val="99"/>
    <w:rPr>
      <w:sz w:val="21"/>
      <w:szCs w:val="21"/>
    </w:rPr>
  </w:style>
  <w:style w:type="character" w:customStyle="1" w:styleId="28">
    <w:name w:val="标题 1 字符"/>
    <w:basedOn w:val="25"/>
    <w:link w:val="5"/>
    <w:qFormat/>
    <w:uiPriority w:val="9"/>
    <w:rPr>
      <w:rFonts w:asciiTheme="majorHAnsi" w:hAnsiTheme="majorHAnsi" w:eastAsiaTheme="majorEastAsia" w:cstheme="majorBidi"/>
      <w:color w:val="104862" w:themeColor="accent1" w:themeShade="BF"/>
      <w:sz w:val="48"/>
      <w:szCs w:val="48"/>
    </w:rPr>
  </w:style>
  <w:style w:type="character" w:customStyle="1" w:styleId="29">
    <w:name w:val="标题 2 字符"/>
    <w:basedOn w:val="25"/>
    <w:link w:val="6"/>
    <w:semiHidden/>
    <w:qFormat/>
    <w:uiPriority w:val="9"/>
    <w:rPr>
      <w:rFonts w:asciiTheme="majorHAnsi" w:hAnsiTheme="majorHAnsi" w:eastAsiaTheme="majorEastAsia" w:cstheme="majorBidi"/>
      <w:color w:val="104862" w:themeColor="accent1" w:themeShade="BF"/>
      <w:sz w:val="40"/>
      <w:szCs w:val="40"/>
    </w:rPr>
  </w:style>
  <w:style w:type="character" w:customStyle="1" w:styleId="30">
    <w:name w:val="标题 3 字符"/>
    <w:basedOn w:val="25"/>
    <w:link w:val="7"/>
    <w:semiHidden/>
    <w:qFormat/>
    <w:uiPriority w:val="9"/>
    <w:rPr>
      <w:rFonts w:asciiTheme="majorHAnsi" w:hAnsiTheme="majorHAnsi" w:eastAsiaTheme="majorEastAsia" w:cstheme="majorBidi"/>
      <w:color w:val="104862" w:themeColor="accent1" w:themeShade="BF"/>
      <w:sz w:val="32"/>
      <w:szCs w:val="32"/>
    </w:rPr>
  </w:style>
  <w:style w:type="character" w:customStyle="1" w:styleId="31">
    <w:name w:val="标题 4 字符"/>
    <w:basedOn w:val="25"/>
    <w:link w:val="8"/>
    <w:semiHidden/>
    <w:qFormat/>
    <w:uiPriority w:val="9"/>
    <w:rPr>
      <w:rFonts w:cstheme="majorBidi"/>
      <w:color w:val="104862" w:themeColor="accent1" w:themeShade="BF"/>
      <w:sz w:val="28"/>
      <w:szCs w:val="28"/>
    </w:rPr>
  </w:style>
  <w:style w:type="character" w:customStyle="1" w:styleId="32">
    <w:name w:val="标题 5 字符"/>
    <w:basedOn w:val="25"/>
    <w:link w:val="9"/>
    <w:semiHidden/>
    <w:qFormat/>
    <w:uiPriority w:val="9"/>
    <w:rPr>
      <w:rFonts w:cstheme="majorBidi"/>
      <w:color w:val="104862" w:themeColor="accent1" w:themeShade="BF"/>
      <w:sz w:val="24"/>
      <w:szCs w:val="24"/>
    </w:rPr>
  </w:style>
  <w:style w:type="character" w:customStyle="1" w:styleId="33">
    <w:name w:val="标题 6 字符"/>
    <w:basedOn w:val="25"/>
    <w:link w:val="10"/>
    <w:semiHidden/>
    <w:qFormat/>
    <w:uiPriority w:val="9"/>
    <w:rPr>
      <w:rFonts w:cstheme="majorBidi"/>
      <w:b/>
      <w:bCs/>
      <w:color w:val="104862" w:themeColor="accent1" w:themeShade="BF"/>
    </w:rPr>
  </w:style>
  <w:style w:type="character" w:customStyle="1" w:styleId="34">
    <w:name w:val="标题 7 字符"/>
    <w:basedOn w:val="25"/>
    <w:link w:val="11"/>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5">
    <w:name w:val="标题 8 字符"/>
    <w:basedOn w:val="25"/>
    <w:link w:val="12"/>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6">
    <w:name w:val="标题 9 字符"/>
    <w:basedOn w:val="25"/>
    <w:link w:val="13"/>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7">
    <w:name w:val="标题 字符"/>
    <w:basedOn w:val="25"/>
    <w:link w:val="21"/>
    <w:qFormat/>
    <w:uiPriority w:val="10"/>
    <w:rPr>
      <w:rFonts w:asciiTheme="majorHAnsi" w:hAnsiTheme="majorHAnsi" w:eastAsiaTheme="majorEastAsia" w:cstheme="majorBidi"/>
      <w:spacing w:val="-10"/>
      <w:kern w:val="28"/>
      <w:sz w:val="56"/>
      <w:szCs w:val="56"/>
    </w:rPr>
  </w:style>
  <w:style w:type="character" w:customStyle="1" w:styleId="38">
    <w:name w:val="副标题 字符"/>
    <w:basedOn w:val="25"/>
    <w:link w:val="19"/>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9">
    <w:name w:val="Quote"/>
    <w:basedOn w:val="1"/>
    <w:next w:val="1"/>
    <w:link w:val="4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0">
    <w:name w:val="引用 字符"/>
    <w:basedOn w:val="25"/>
    <w:link w:val="39"/>
    <w:qFormat/>
    <w:uiPriority w:val="29"/>
    <w:rPr>
      <w:i/>
      <w:iCs/>
      <w:color w:val="404040" w:themeColor="text1" w:themeTint="BF"/>
      <w14:textFill>
        <w14:solidFill>
          <w14:schemeClr w14:val="tx1">
            <w14:lumMod w14:val="75000"/>
            <w14:lumOff w14:val="25000"/>
          </w14:schemeClr>
        </w14:solidFill>
      </w14:textFill>
    </w:rPr>
  </w:style>
  <w:style w:type="paragraph" w:styleId="41">
    <w:name w:val="List Paragraph"/>
    <w:basedOn w:val="1"/>
    <w:qFormat/>
    <w:uiPriority w:val="34"/>
    <w:pPr>
      <w:ind w:left="720"/>
      <w:contextualSpacing/>
    </w:pPr>
  </w:style>
  <w:style w:type="character" w:customStyle="1" w:styleId="42">
    <w:name w:val="明显强调1"/>
    <w:basedOn w:val="25"/>
    <w:qFormat/>
    <w:uiPriority w:val="21"/>
    <w:rPr>
      <w:i/>
      <w:iCs/>
      <w:color w:val="104862" w:themeColor="accent1" w:themeShade="BF"/>
    </w:rPr>
  </w:style>
  <w:style w:type="paragraph" w:styleId="43">
    <w:name w:val="Intense Quote"/>
    <w:basedOn w:val="1"/>
    <w:next w:val="1"/>
    <w:link w:val="4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4">
    <w:name w:val="明显引用 字符"/>
    <w:basedOn w:val="25"/>
    <w:link w:val="43"/>
    <w:qFormat/>
    <w:uiPriority w:val="30"/>
    <w:rPr>
      <w:i/>
      <w:iCs/>
      <w:color w:val="104862" w:themeColor="accent1" w:themeShade="BF"/>
    </w:rPr>
  </w:style>
  <w:style w:type="character" w:customStyle="1" w:styleId="45">
    <w:name w:val="明显参考1"/>
    <w:basedOn w:val="25"/>
    <w:qFormat/>
    <w:uiPriority w:val="32"/>
    <w:rPr>
      <w:b/>
      <w:bCs/>
      <w:smallCaps/>
      <w:color w:val="104862" w:themeColor="accent1" w:themeShade="BF"/>
      <w:spacing w:val="5"/>
    </w:rPr>
  </w:style>
  <w:style w:type="character" w:customStyle="1" w:styleId="46">
    <w:name w:val="页眉 字符"/>
    <w:basedOn w:val="25"/>
    <w:link w:val="18"/>
    <w:qFormat/>
    <w:uiPriority w:val="99"/>
    <w:rPr>
      <w:sz w:val="18"/>
      <w:szCs w:val="18"/>
    </w:rPr>
  </w:style>
  <w:style w:type="character" w:customStyle="1" w:styleId="47">
    <w:name w:val="页脚 字符"/>
    <w:basedOn w:val="25"/>
    <w:link w:val="17"/>
    <w:qFormat/>
    <w:uiPriority w:val="99"/>
    <w:rPr>
      <w:sz w:val="18"/>
      <w:szCs w:val="18"/>
    </w:rPr>
  </w:style>
  <w:style w:type="character" w:customStyle="1" w:styleId="48">
    <w:name w:val="批注文字 字符"/>
    <w:basedOn w:val="25"/>
    <w:link w:val="15"/>
    <w:qFormat/>
    <w:uiPriority w:val="99"/>
    <w:rPr>
      <w:rFonts w:asciiTheme="minorHAnsi" w:hAnsiTheme="minorHAnsi" w:eastAsiaTheme="minorEastAsia" w:cstheme="minorBidi"/>
      <w:kern w:val="2"/>
      <w:sz w:val="21"/>
      <w:szCs w:val="22"/>
      <w14:ligatures w14:val="standardContextual"/>
    </w:rPr>
  </w:style>
  <w:style w:type="character" w:customStyle="1" w:styleId="49">
    <w:name w:val="批注主题 字符"/>
    <w:basedOn w:val="48"/>
    <w:link w:val="22"/>
    <w:semiHidden/>
    <w:qFormat/>
    <w:uiPriority w:val="99"/>
    <w:rPr>
      <w:rFonts w:asciiTheme="minorHAnsi" w:hAnsiTheme="minorHAnsi" w:eastAsiaTheme="minorEastAsia" w:cstheme="minorBidi"/>
      <w:b/>
      <w:bCs/>
      <w:kern w:val="2"/>
      <w:sz w:val="21"/>
      <w:szCs w:val="22"/>
      <w14:ligatures w14:val="standardContextual"/>
    </w:rPr>
  </w:style>
  <w:style w:type="character" w:customStyle="1" w:styleId="50">
    <w:name w:val="批注框文本 字符"/>
    <w:basedOn w:val="25"/>
    <w:link w:val="16"/>
    <w:semiHidden/>
    <w:qFormat/>
    <w:uiPriority w:val="99"/>
    <w:rPr>
      <w:rFonts w:asciiTheme="minorHAnsi" w:hAnsiTheme="minorHAnsi" w:eastAsiaTheme="minorEastAsia" w:cstheme="minorBidi"/>
      <w:kern w:val="2"/>
      <w:sz w:val="18"/>
      <w:szCs w:val="18"/>
      <w14:ligatures w14:val="standardContextual"/>
    </w:rPr>
  </w:style>
  <w:style w:type="paragraph" w:customStyle="1" w:styleId="51">
    <w:name w:val="Revision"/>
    <w:hidden/>
    <w:semiHidden/>
    <w:qFormat/>
    <w:uiPriority w:val="99"/>
    <w:rPr>
      <w:rFonts w:asciiTheme="minorHAnsi" w:hAnsiTheme="minorHAnsi" w:eastAsiaTheme="minorEastAsia" w:cstheme="minorBidi"/>
      <w:kern w:val="2"/>
      <w:sz w:val="21"/>
      <w:szCs w:val="22"/>
      <w:lang w:val="en-US" w:eastAsia="zh-CN" w:bidi="ar-SA"/>
      <w14:ligatures w14:val="standardContextu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da72cf59-df3d-4ee3-8c3c-8d9e4cc6b4bb</errorID>
      <errorWord>(</errorWord>
      <group>L1_Format</group>
      <groupName>格式问题</groupName>
      <ability>L2_HalfPunc_CN</ability>
      <abilityName>全半角问题</abilityName>
      <candidateList>
        <item>（</item>
      </candidateList>
      <explain>文本全半角错误。</explain>
      <paraID>1B2DBBF6</paraID>
      <start>2</start>
      <end>3</end>
      <status>modified</status>
      <modifiedWord>（</modifiedWord>
      <trackRevisions>false</trackRevisions>
    </reviewItem>
    <reviewItem>
      <errorID>9f032930-3e66-4657-94ef-947625a8588b</errorID>
      <errorWord>)</errorWord>
      <group>L1_Format</group>
      <groupName>格式问题</groupName>
      <ability>L2_HalfPunc_CN</ability>
      <abilityName>全半角问题</abilityName>
      <candidateList>
        <item>）</item>
      </candidateList>
      <explain>文本全半角错误。</explain>
      <paraID>1B2DBBF6</paraID>
      <start>4</start>
      <end>5</end>
      <status>modified</status>
      <modifiedWord>）</modifiedWord>
      <trackRevisions>false</trackRevisions>
    </reviewItem>
    <reviewItem>
      <errorID>11b4a3b0-4389-4351-a549-529584b0356f</errorID>
      <errorWord>(</errorWord>
      <group>L1_Format</group>
      <groupName>格式问题</groupName>
      <ability>L2_HalfPunc_CN</ability>
      <abilityName>全半角问题</abilityName>
      <candidateList>
        <item>（</item>
      </candidateList>
      <explain>文本全半角错误。</explain>
      <paraID>5C34A8E7</paraID>
      <start>2</start>
      <end>3</end>
      <status>modified</status>
      <modifiedWord>（</modifiedWord>
      <trackRevisions>false</trackRevisions>
    </reviewItem>
    <reviewItem>
      <errorID>f3a1f39b-3f84-4480-b959-904cb13c5a54</errorID>
      <errorWord>)</errorWord>
      <group>L1_Format</group>
      <groupName>格式问题</groupName>
      <ability>L2_HalfPunc_CN</ability>
      <abilityName>全半角问题</abilityName>
      <candidateList>
        <item>）</item>
      </candidateList>
      <explain>文本全半角错误。</explain>
      <paraID>5C34A8E7</paraID>
      <start>4</start>
      <end>5</end>
      <status>modified</status>
      <modifiedWord>）</modifiedWord>
      <trackRevisions>false</trackRevisions>
    </reviewItem>
    <reviewItem>
      <errorID>90d4f200-1171-40b1-ab27-da19102d7ad6</errorID>
      <errorWord>(</errorWord>
      <group>L1_Format</group>
      <groupName>格式问题</groupName>
      <ability>L2_HalfPunc_CN</ability>
      <abilityName>全半角问题</abilityName>
      <candidateList>
        <item>（</item>
      </candidateList>
      <explain>文本全半角错误。</explain>
      <paraID>17D2E8E0</paraID>
      <start>2</start>
      <end>3</end>
      <status>modified</status>
      <modifiedWord>（</modifiedWord>
      <trackRevisions>false</trackRevisions>
    </reviewItem>
    <reviewItem>
      <errorID>7fc2a80b-eb64-426a-bff0-aeb721afc40d</errorID>
      <errorWord>)</errorWord>
      <group>L1_Format</group>
      <groupName>格式问题</groupName>
      <ability>L2_HalfPunc_CN</ability>
      <abilityName>全半角问题</abilityName>
      <candidateList>
        <item>）</item>
      </candidateList>
      <explain>文本全半角错误。</explain>
      <paraID>17D2E8E0</paraID>
      <start>4</start>
      <end>5</end>
      <status>modified</status>
      <modifiedWord>）</modifiedWord>
      <trackRevisions>false</trackRevisions>
    </reviewItem>
    <reviewItem>
      <errorID>b2777d5e-9a10-4538-bcba-3ba824de5151</errorID>
      <errorWord>(</errorWord>
      <group>L1_Format</group>
      <groupName>格式问题</groupName>
      <ability>L2_HalfPunc_CN</ability>
      <abilityName>全半角问题</abilityName>
      <candidateList>
        <item>（</item>
      </candidateList>
      <explain>文本全半角错误。</explain>
      <paraID>5EC5BB22</paraID>
      <start>2</start>
      <end>3</end>
      <status>modified</status>
      <modifiedWord>（</modifiedWord>
      <trackRevisions>false</trackRevisions>
    </reviewItem>
    <reviewItem>
      <errorID>28afad39-f5af-40f5-b7ed-57638a797bbf</errorID>
      <errorWord>)</errorWord>
      <group>L1_Format</group>
      <groupName>格式问题</groupName>
      <ability>L2_HalfPunc_CN</ability>
      <abilityName>全半角问题</abilityName>
      <candidateList>
        <item>）</item>
      </candidateList>
      <explain>文本全半角错误。</explain>
      <paraID>5EC5BB22</paraID>
      <start>4</start>
      <end>5</end>
      <status>modified</status>
      <modifiedWord>）</modifiedWord>
      <trackRevisions>false</trackRevisions>
    </reviewItem>
    <reviewItem>
      <errorID>ac7ff094-4b6a-4425-bdc4-d9a8945da197</errorID>
      <errorWord>(</errorWord>
      <group>L1_Format</group>
      <groupName>格式问题</groupName>
      <ability>L2_HalfPunc_CN</ability>
      <abilityName>全半角问题</abilityName>
      <candidateList>
        <item>（</item>
      </candidateList>
      <explain>文本全半角错误。</explain>
      <paraID>4BC5ECCD</paraID>
      <start>2</start>
      <end>3</end>
      <status>modified</status>
      <modifiedWord>（</modifiedWord>
      <trackRevisions>false</trackRevisions>
    </reviewItem>
    <reviewItem>
      <errorID>c5924cf5-3b3c-4244-bc8d-d23305fd87f2</errorID>
      <errorWord>)</errorWord>
      <group>L1_Format</group>
      <groupName>格式问题</groupName>
      <ability>L2_HalfPunc_CN</ability>
      <abilityName>全半角问题</abilityName>
      <candidateList>
        <item>）</item>
      </candidateList>
      <explain>文本全半角错误。</explain>
      <paraID>4BC5ECCD</paraID>
      <start>4</start>
      <end>5</end>
      <status>modified</status>
      <modifiedWord>）</modifiedWord>
      <trackRevisions>false</trackRevisions>
    </reviewItem>
    <reviewItem>
      <errorID>0be4cc69-18d1-40db-85ee-1cf2bf14207a</errorID>
      <errorWord>:</errorWord>
      <group>L1_Format</group>
      <groupName>格式问题</groupName>
      <ability>L2_HalfPunc_CN</ability>
      <abilityName>全半角问题</abilityName>
      <candidateList>
        <item>：</item>
      </candidateList>
      <explain>文本全半角错误。</explain>
      <paraID>77D352ED</paraID>
      <start>15</start>
      <end>16</end>
      <status>modified</status>
      <modifiedWord>：</modifiedWord>
      <trackRevisions>false</trackRevisions>
    </reviewItem>
    <reviewItem>
      <errorID>e8f54455-fad8-46c0-840e-10796223bd6d</errorID>
      <errorWord>)</errorWord>
      <group>L1_Format</group>
      <groupName>格式问题</groupName>
      <ability>L2_HalfPunc_CN</ability>
      <abilityName>全半角问题</abilityName>
      <candidateList>
        <item>）</item>
      </candidateList>
      <explain>文本全半角错误。</explain>
      <paraID>2837247A</paraID>
      <start>4</start>
      <end>5</end>
      <status>ignored</status>
      <modifiedWord/>
      <trackRevisions>false</trackRevisions>
    </reviewItem>
    <reviewItem>
      <errorID>174fe9dc-e809-4e86-80f2-d4c445d2267c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2780D8C9</paraID>
      <start>0</start>
      <end>3</end>
      <status>ignored</status>
      <modifiedWord/>
      <trackRevisions>false</trackRevisions>
    </reviewItem>
    <reviewItem>
      <errorID>70f73732-8bd8-48b0-b33b-781bc0ee2e10</errorID>
      <errorWord>)</errorWord>
      <group>L1_Format</group>
      <groupName>格式问题</groupName>
      <ability>L2_HalfPunc_CN</ability>
      <abilityName>全半角问题</abilityName>
      <candidateList>
        <item>）</item>
      </candidateList>
      <explain>文本全半角错误。</explain>
      <paraID>494A7A34</paraID>
      <start>4</start>
      <end>5</end>
      <status>ignored</status>
      <modifiedWord/>
      <trackRevisions>false</trackRevisions>
    </reviewItem>
    <reviewItem>
      <errorID>bf0a9b49-57e6-4beb-b454-283fb452d1da</errorID>
      <errorWord>)</errorWord>
      <group>L1_Format</group>
      <groupName>格式问题</groupName>
      <ability>L2_HalfPunc_CN</ability>
      <abilityName>全半角问题</abilityName>
      <candidateList>
        <item>）</item>
      </candidateList>
      <explain>文本全半角错误。</explain>
      <paraID>46A38699</paraID>
      <start>4</start>
      <end>5</end>
      <status>ignored</status>
      <modifiedWord/>
      <trackRevisions>false</trackRevisions>
    </reviewItem>
    <reviewItem>
      <errorID>f04aec8a-e15d-4f91-bef9-c793cc20a75c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35F59C3D</paraID>
      <start>0</start>
      <end>3</end>
      <status>ignored</status>
      <modifiedWord/>
      <trackRevisions>false</trackRevisions>
    </reviewItem>
    <reviewItem>
      <errorID>b129b2da-83ca-4012-9d07-6cab3587c8bf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2CDBB3E0</paraID>
      <start>4</start>
      <end>7</end>
      <status>ignored</status>
      <modifiedWord/>
      <trackRevisions>false</trackRevisions>
    </reviewItem>
    <reviewItem>
      <errorID>fbce3968-74ab-4831-a98e-a39390cbb53f</errorID>
      <errorWord>:</errorWord>
      <group>L1_Format</group>
      <groupName>格式问题</groupName>
      <ability>L2_HalfPunc_CN</ability>
      <abilityName>全半角问题</abilityName>
      <candidateList>
        <item>：</item>
      </candidateList>
      <explain>文本全半角错误。</explain>
      <paraID>73C13DBC</paraID>
      <start>66</start>
      <end>67</end>
      <status>modified</status>
      <modifiedWord>：</modifiedWord>
      <trackRevisions>false</trackRevisions>
    </reviewItem>
    <reviewItem>
      <errorID>06d55627-16b7-45b0-8acf-5c54fd8bcf23</errorID>
      <errorWord>)</errorWord>
      <group>L1_Format</group>
      <groupName>格式问题</groupName>
      <ability>L2_HalfPunc_CN</ability>
      <abilityName>全半角问题</abilityName>
      <candidateList>
        <item>）</item>
      </candidateList>
      <explain>文本全半角错误。</explain>
      <paraID>6BFDEBAF</paraID>
      <start>4</start>
      <end>5</end>
      <status>ignored</status>
      <modifiedWord/>
      <trackRevisions>false</trackRevisions>
    </reviewItem>
    <reviewItem>
      <errorID>e8b4c07c-968a-4a9d-a13e-9e385291146b</errorID>
      <errorWord>;</errorWord>
      <group>L1_Format</group>
      <groupName>格式问题</groupName>
      <ability>L2_HalfPunc_CN</ability>
      <abilityName>全半角问题</abilityName>
      <candidateList>
        <item>；</item>
      </candidateList>
      <explain>文本全半角错误。</explain>
      <paraID>6BFDEBAF</paraID>
      <start>14</start>
      <end>15</end>
      <status>modified</status>
      <modifiedWord>；</modifiedWord>
      <trackRevisions>false</trackRevisions>
    </reviewItem>
    <reviewItem>
      <errorID>d436c1e8-1a30-4254-b2ea-9ebdf314b819</errorID>
      <errorWord>)</errorWord>
      <group>L1_Format</group>
      <groupName>格式问题</groupName>
      <ability>L2_HalfPunc_CN</ability>
      <abilityName>全半角问题</abilityName>
      <candidateList>
        <item>）</item>
      </candidateList>
      <explain>文本全半角错误。</explain>
      <paraID>4E0BF25D</paraID>
      <start>4</start>
      <end>5</end>
      <status>ignored</status>
      <modifiedWord/>
      <trackRevisions>false</trackRevisions>
    </reviewItem>
    <reviewItem>
      <errorID>5587c09d-59ab-47b7-996d-68b37467b9cf</errorID>
      <errorWord>;</errorWord>
      <group>L1_Format</group>
      <groupName>格式问题</groupName>
      <ability>L2_HalfPunc_CN</ability>
      <abilityName>全半角问题</abilityName>
      <candidateList>
        <item>；</item>
      </candidateList>
      <explain>文本全半角错误。</explain>
      <paraID>4E0BF25D</paraID>
      <start>17</start>
      <end>18</end>
      <status>modified</status>
      <modifiedWord>；</modifiedWord>
      <trackRevisions>false</trackRevisions>
    </reviewItem>
    <reviewItem>
      <errorID>91aed154-14e9-41dc-9305-71420cd717eb</errorID>
      <errorWord>)</errorWord>
      <group>L1_Format</group>
      <groupName>格式问题</groupName>
      <ability>L2_HalfPunc_CN</ability>
      <abilityName>全半角问题</abilityName>
      <candidateList>
        <item>）</item>
      </candidateList>
      <explain>文本全半角错误。</explain>
      <paraID>2FBD4A5C</paraID>
      <start>4</start>
      <end>5</end>
      <status>ignored</status>
      <modifiedWord/>
      <trackRevisions>false</trackRevisions>
    </reviewItem>
    <reviewItem>
      <errorID>de3c860e-0d64-46ea-86f5-a1d658dc9f68</errorID>
      <errorWord>(</errorWord>
      <group>L1_Format</group>
      <groupName>格式问题</groupName>
      <ability>L2_HalfPunc_CN</ability>
      <abilityName>全半角问题</abilityName>
      <candidateList>
        <item>（</item>
      </candidateList>
      <explain>文本全半角错误。</explain>
      <paraID>1025D6C0</paraID>
      <start>2</start>
      <end>3</end>
      <status>modified</status>
      <modifiedWord>（</modifiedWord>
      <trackRevisions>false</trackRevisions>
    </reviewItem>
    <reviewItem>
      <errorID>ccae4813-9f03-4057-90ef-9024f6dfaafc</errorID>
      <errorWord>)</errorWord>
      <group>L1_Format</group>
      <groupName>格式问题</groupName>
      <ability>L2_HalfPunc_CN</ability>
      <abilityName>全半角问题</abilityName>
      <candidateList>
        <item>）</item>
      </candidateList>
      <explain>文本全半角错误。</explain>
      <paraID>1025D6C0</paraID>
      <start>4</start>
      <end>5</end>
      <status>modified</status>
      <modifiedWord>）</modifiedWord>
      <trackRevisions>false</trackRevisions>
    </reviewItem>
    <reviewItem>
      <errorID>57d7d7c8-aa6d-4422-9500-547c6d7d575c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6915DA95</paraID>
      <start>0</start>
      <end>2</end>
      <status>modified</status>
      <modifiedWord>1.</modifiedWord>
      <trackRevisions>false</trackRevisions>
    </reviewItem>
    <reviewItem>
      <errorID>624a2bec-9881-43fb-93ab-70d75c15670b</errorID>
      <errorWord>(</errorWord>
      <group>L1_Format</group>
      <groupName>格式问题</groupName>
      <ability>L2_HalfPunc_CN</ability>
      <abilityName>全半角问题</abilityName>
      <candidateList>
        <item>（</item>
      </candidateList>
      <explain>文本全半角错误。</explain>
      <paraID>3E7E4FBD</paraID>
      <start>2</start>
      <end>3</end>
      <status>modified</status>
      <modifiedWord>（</modifiedWord>
      <trackRevisions>false</trackRevisions>
    </reviewItem>
    <reviewItem>
      <errorID>f7bac49f-b321-449d-a6dc-6931a5048684</errorID>
      <errorWord>)</errorWord>
      <group>L1_Format</group>
      <groupName>格式问题</groupName>
      <ability>L2_HalfPunc_CN</ability>
      <abilityName>全半角问题</abilityName>
      <candidateList>
        <item>）</item>
      </candidateList>
      <explain>文本全半角错误。</explain>
      <paraID>3E7E4FBD</paraID>
      <start>4</start>
      <end>5</end>
      <status>modified</status>
      <modifiedWord>）</modifiedWord>
      <trackRevisions>false</trackRevisions>
    </reviewItem>
    <reviewItem>
      <errorID>47c91130-10d2-4289-a391-7ff6f02b3b09</errorID>
      <errorWord>:</errorWord>
      <group>L1_Format</group>
      <groupName>格式问题</groupName>
      <ability>L2_HalfPunc_CN</ability>
      <abilityName>全半角问题</abilityName>
      <candidateList>
        <item>：</item>
      </candidateList>
      <explain>文本全半角错误。</explain>
      <paraID> 5856EAD</paraID>
      <start>42</start>
      <end>43</end>
      <status>modified</status>
      <modifiedWord>：</modifiedWord>
      <trackRevisions>false</trackRevisions>
    </reviewItem>
    <reviewItem>
      <errorID>c21e02d9-3354-4882-92cb-f425168c7761</errorID>
      <errorWord>(</errorWord>
      <group>L1_Format</group>
      <groupName>格式问题</groupName>
      <ability>L2_HalfPunc_CN</ability>
      <abilityName>全半角问题</abilityName>
      <candidateList>
        <item>（</item>
      </candidateList>
      <explain>文本全半角错误。</explain>
      <paraID>4978B4D8</paraID>
      <start>2</start>
      <end>3</end>
      <status>modified</status>
      <modifiedWord>（</modifiedWord>
      <trackRevisions>false</trackRevisions>
    </reviewItem>
    <reviewItem>
      <errorID>bf3b78f4-a2ad-4a96-944e-b2cb0b83686d</errorID>
      <errorWord>)</errorWord>
      <group>L1_Format</group>
      <groupName>格式问题</groupName>
      <ability>L2_HalfPunc_CN</ability>
      <abilityName>全半角问题</abilityName>
      <candidateList>
        <item>）</item>
      </candidateList>
      <explain>文本全半角错误。</explain>
      <paraID>4978B4D8</paraID>
      <start>4</start>
      <end>5</end>
      <status>modified</status>
      <modifiedWord>）</modifiedWord>
      <trackRevisions>false</trackRevisions>
    </reviewItem>
    <reviewItem>
      <errorID>7775d2ab-0d92-4b40-83f0-f1d7f904624e</errorID>
      <errorWord>(</errorWord>
      <group>L1_Format</group>
      <groupName>格式问题</groupName>
      <ability>L2_HalfPunc_CN</ability>
      <abilityName>全半角问题</abilityName>
      <candidateList>
        <item>（</item>
      </candidateList>
      <explain>文本全半角错误。</explain>
      <paraID>5240ED4A</paraID>
      <start>2</start>
      <end>3</end>
      <status>modified</status>
      <modifiedWord>（</modifiedWord>
      <trackRevisions>false</trackRevisions>
    </reviewItem>
    <reviewItem>
      <errorID>30e90989-d8f0-4f5c-880c-41d202fb6324</errorID>
      <errorWord>)</errorWord>
      <group>L1_Format</group>
      <groupName>格式问题</groupName>
      <ability>L2_HalfPunc_CN</ability>
      <abilityName>全半角问题</abilityName>
      <candidateList>
        <item>）</item>
      </candidateList>
      <explain>文本全半角错误。</explain>
      <paraID>5240ED4A</paraID>
      <start>4</start>
      <end>5</end>
      <status>modified</status>
      <modifiedWord>）</modifiedWord>
      <trackRevisions>false</trackRevisions>
    </reviewItem>
    <reviewItem>
      <errorID>271bfe55-2a99-4440-9844-16b1665c580f</errorID>
      <errorWord>(</errorWord>
      <group>L1_Format</group>
      <groupName>格式问题</groupName>
      <ability>L2_HalfPunc_CN</ability>
      <abilityName>全半角问题</abilityName>
      <candidateList>
        <item>（</item>
      </candidateList>
      <explain>文本全半角错误。</explain>
      <paraID>55FE265E</paraID>
      <start>2</start>
      <end>3</end>
      <status>modified</status>
      <modifiedWord>（</modifiedWord>
      <trackRevisions>false</trackRevisions>
    </reviewItem>
    <reviewItem>
      <errorID>dc424b45-5090-4f32-b4c2-ac8564113dab</errorID>
      <errorWord>)</errorWord>
      <group>L1_Format</group>
      <groupName>格式问题</groupName>
      <ability>L2_HalfPunc_CN</ability>
      <abilityName>全半角问题</abilityName>
      <candidateList>
        <item>）</item>
      </candidateList>
      <explain>文本全半角错误。</explain>
      <paraID>55FE265E</paraID>
      <start>4</start>
      <end>5</end>
      <status>modified</status>
      <modifiedWord>）</modifiedWord>
      <trackRevisions>false</trackRevisions>
    </reviewItem>
    <reviewItem>
      <errorID>c992bbf6-4bfd-4c51-a545-def305963b00</errorID>
      <errorWord>:</errorWord>
      <group>L1_Format</group>
      <groupName>格式问题</groupName>
      <ability>L2_HalfPunc_CN</ability>
      <abilityName>全半角问题</abilityName>
      <candidateList>
        <item>：</item>
      </candidateList>
      <explain>文本全半角错误。</explain>
      <paraID>2AE9459F</paraID>
      <start>5</start>
      <end>6</end>
      <status>modified</status>
      <modifiedWord>：</modifiedWord>
      <trackRevisions>false</trackRevisions>
    </reviewItem>
    <reviewItem>
      <errorID>3fbbd468-dced-45dc-8526-7f6e613eaae7</errorID>
      <errorWord>:</errorWord>
      <group>L1_Format</group>
      <groupName>格式问题</groupName>
      <ability>L2_HalfPunc_CN</ability>
      <abilityName>全半角问题</abilityName>
      <candidateList>
        <item>：</item>
      </candidateList>
      <explain>文本全半角错误。</explain>
      <paraID>64834FDC</paraID>
      <start>10</start>
      <end>11</end>
      <status>modified</status>
      <modifiedWord>：</modifiedWord>
      <trackRevisions>false</trackRevisions>
    </reviewItem>
    <reviewItem>
      <errorID>7d08e3e3-d4e7-4734-98ed-74b37e616405</errorID>
      <errorWord>:</errorWord>
      <group>L1_Format</group>
      <groupName>格式问题</groupName>
      <ability>L2_HalfPunc_CN</ability>
      <abilityName>全半角问题</abilityName>
      <candidateList>
        <item>：</item>
      </candidateList>
      <explain>文本全半角错误。</explain>
      <paraID>618D060D</paraID>
      <start>9</start>
      <end>10</end>
      <status>modified</status>
      <modifiedWord>：</modifiedWord>
      <trackRevisions>false</trackRevisions>
    </reviewItem>
    <reviewItem>
      <errorID>2c4b79ba-0145-418f-93e2-25d9c3a35615</errorID>
      <errorWord>(</errorWord>
      <group>L1_Format</group>
      <groupName>格式问题</groupName>
      <ability>L2_HalfPunc_CN</ability>
      <abilityName>全半角问题</abilityName>
      <candidateList>
        <item>（</item>
      </candidateList>
      <explain>文本全半角错误。</explain>
      <paraID>339218DC</paraID>
      <start>2</start>
      <end>3</end>
      <status>modified</status>
      <modifiedWord>（</modifiedWord>
      <trackRevisions>false</trackRevisions>
    </reviewItem>
    <reviewItem>
      <errorID>62ec4baa-59c1-438c-a515-b6df5fafb515</errorID>
      <errorWord>)</errorWord>
      <group>L1_Format</group>
      <groupName>格式问题</groupName>
      <ability>L2_HalfPunc_CN</ability>
      <abilityName>全半角问题</abilityName>
      <candidateList>
        <item>）</item>
      </candidateList>
      <explain>文本全半角错误。</explain>
      <paraID>339218DC</paraID>
      <start>4</start>
      <end>5</end>
      <status>modified</status>
      <modifiedWord>）</modifiedWord>
      <trackRevisions>false</trackRevisions>
    </reviewItem>
    <reviewItem>
      <errorID>072218ac-06bc-4a5e-a9c3-283e9d9ea5e6</errorID>
      <errorWord>(</errorWord>
      <group>L1_Format</group>
      <groupName>格式问题</groupName>
      <ability>L2_HalfPunc_CN</ability>
      <abilityName>全半角问题</abilityName>
      <candidateList>
        <item>（</item>
      </candidateList>
      <explain>文本全半角错误。</explain>
      <paraID>15605079</paraID>
      <start>2</start>
      <end>3</end>
      <status>modified</status>
      <modifiedWord>（</modifiedWord>
      <trackRevisions>false</trackRevisions>
    </reviewItem>
    <reviewItem>
      <errorID>9032f8e7-60e0-423b-bf9a-094e32f646c9</errorID>
      <errorWord>)</errorWord>
      <group>L1_Format</group>
      <groupName>格式问题</groupName>
      <ability>L2_HalfPunc_CN</ability>
      <abilityName>全半角问题</abilityName>
      <candidateList>
        <item>）</item>
      </candidateList>
      <explain>文本全半角错误。</explain>
      <paraID>15605079</paraID>
      <start>4</start>
      <end>5</end>
      <status>modified</status>
      <modifiedWord>）</modifiedWord>
      <trackRevisions>false</trackRevisions>
    </reviewItem>
    <reviewItem>
      <errorID>a16976d0-8a15-4501-9376-e6dc1ee5e224</errorID>
      <errorWord>)</errorWord>
      <group>L1_Format</group>
      <groupName>格式问题</groupName>
      <ability>L2_HalfPunc_CN</ability>
      <abilityName>全半角问题</abilityName>
      <candidateList>
        <item>）</item>
      </candidateList>
      <explain>文本全半角错误。</explain>
      <paraID>5C05E0FD</paraID>
      <start>6</start>
      <end>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46cdab-e461-4741-b72c-b08729fd7311}">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5539</Words>
  <Characters>5671</Characters>
  <Lines>107</Lines>
  <Paragraphs>67</Paragraphs>
  <TotalTime>14</TotalTime>
  <ScaleCrop>false</ScaleCrop>
  <LinksUpToDate>false</LinksUpToDate>
  <CharactersWithSpaces>5832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2026-07-31T13:52:00Z</dcterms:created>
  <dc:creator>小玲 孔</dc:creator>
  <cp:lastModifiedBy>徐菁</cp:lastModifiedBy>
  <cp:lastPrinted>2026-08-20T16:38:00Z</cp:lastPrinted>
  <dcterms:modified xsi:type="dcterms:W3CDTF">2026-08-27T06:16:47Z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eyJoZGlkIjoiNDIxNTE3NGIxNDA4MGU5MGY3ZjllNjJmNDNiZmY5ZDciLCJ1c2VySWQiOiIyNTcyNjc3ODkifQ==</vt:lpwstr>
  </property>
  <property fmtid="{D5CDD505-2E9C-101B-9397-08002B2CF9AE}" pid="4" name="ICV">
    <vt:lpwstr>F9F55C0B87CE4B63B007F07CA8FBAEE7_12</vt:lpwstr>
  </property>
</Properties>
</file>