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北京市药品监督管理局</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年政府信息公开工作年度报告</w:t>
      </w:r>
    </w:p>
    <w:p>
      <w:pPr>
        <w:spacing w:line="560" w:lineRule="exact"/>
        <w:jc w:val="center"/>
        <w:rPr>
          <w:color w:val="auto"/>
          <w:sz w:val="44"/>
          <w:szCs w:val="44"/>
        </w:rPr>
      </w:pPr>
    </w:p>
    <w:p>
      <w:pPr>
        <w:widowControl/>
        <w:spacing w:line="560" w:lineRule="exact"/>
        <w:jc w:val="left"/>
        <w:rPr>
          <w:rFonts w:ascii="仿宋_GB2312" w:hAnsi="宋体" w:eastAsia="仿宋_GB2312" w:cs="宋体"/>
          <w:color w:val="auto"/>
          <w:spacing w:val="8"/>
          <w:kern w:val="0"/>
          <w:sz w:val="32"/>
          <w:szCs w:val="32"/>
        </w:rPr>
      </w:pPr>
      <w:r>
        <w:rPr>
          <w:rFonts w:hint="eastAsia" w:ascii="微软雅黑" w:hAnsi="微软雅黑" w:eastAsia="微软雅黑" w:cs="宋体"/>
          <w:color w:val="auto"/>
          <w:kern w:val="0"/>
          <w:sz w:val="24"/>
        </w:rPr>
        <w:t>　</w:t>
      </w:r>
      <w:r>
        <w:rPr>
          <w:rFonts w:hint="eastAsia" w:ascii="微软雅黑" w:hAnsi="微软雅黑" w:eastAsia="微软雅黑" w:cs="宋体"/>
          <w:color w:val="auto"/>
          <w:kern w:val="0"/>
          <w:sz w:val="32"/>
          <w:szCs w:val="32"/>
        </w:rPr>
        <w:t xml:space="preserve">   </w:t>
      </w: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color w:val="auto"/>
          <w:spacing w:val="8"/>
          <w:kern w:val="0"/>
          <w:sz w:val="32"/>
          <w:szCs w:val="32"/>
        </w:rPr>
      </w:pPr>
      <w:r>
        <w:rPr>
          <w:rFonts w:hint="eastAsia" w:ascii="黑体" w:hAnsi="黑体" w:eastAsia="黑体" w:cs="宋体"/>
          <w:color w:val="auto"/>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color w:val="auto"/>
          <w:spacing w:val="8"/>
          <w:kern w:val="0"/>
          <w:sz w:val="32"/>
          <w:szCs w:val="32"/>
        </w:rPr>
      </w:pPr>
      <w:r>
        <w:rPr>
          <w:rFonts w:hint="eastAsia" w:ascii="楷体_GB2312" w:hAnsi="宋体" w:eastAsia="楷体_GB2312" w:cs="宋体"/>
          <w:color w:val="auto"/>
          <w:spacing w:val="8"/>
          <w:kern w:val="0"/>
          <w:sz w:val="32"/>
          <w:szCs w:val="32"/>
          <w:lang w:val="en-US" w:eastAsia="zh-CN"/>
        </w:rPr>
        <w:t>2024年，</w:t>
      </w:r>
      <w:r>
        <w:rPr>
          <w:rFonts w:hint="eastAsia" w:ascii="仿宋_GB2312" w:hAnsi="宋体" w:eastAsia="仿宋_GB2312" w:cs="宋体"/>
          <w:color w:val="auto"/>
          <w:spacing w:val="8"/>
          <w:kern w:val="0"/>
          <w:sz w:val="32"/>
          <w:szCs w:val="32"/>
          <w:lang w:val="en-US" w:eastAsia="zh-CN"/>
        </w:rPr>
        <w:t>市药监局深入贯彻《政府信息公开条例》，按照北京市政府信息公开工作相关要求，持续完善工作机制，有力推进药监领域政府信息公开，不断优化政策服务，规范政府信息管理，更好发挥了以政府信息公开促进药监工作大局的作用，提升了政府信息公开工作质效。</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color w:val="auto"/>
          <w:spacing w:val="8"/>
          <w:kern w:val="0"/>
          <w:sz w:val="32"/>
          <w:szCs w:val="32"/>
          <w:lang w:val="en-US"/>
        </w:rPr>
      </w:pPr>
      <w:r>
        <w:rPr>
          <w:rFonts w:hint="default" w:ascii="楷体_GB2312" w:hAnsi="宋体" w:eastAsia="楷体_GB2312" w:cs="宋体"/>
          <w:color w:val="auto"/>
          <w:spacing w:val="8"/>
          <w:kern w:val="0"/>
          <w:sz w:val="32"/>
          <w:szCs w:val="32"/>
          <w:lang w:val="en-US"/>
        </w:rPr>
        <w:t>一</w:t>
      </w:r>
      <w:r>
        <w:rPr>
          <w:rFonts w:hint="eastAsia" w:ascii="楷体_GB2312" w:hAnsi="宋体" w:eastAsia="楷体_GB2312" w:cs="宋体"/>
          <w:color w:val="auto"/>
          <w:spacing w:val="8"/>
          <w:kern w:val="0"/>
          <w:sz w:val="32"/>
          <w:szCs w:val="32"/>
          <w:lang w:val="en-US" w:eastAsia="zh-CN"/>
        </w:rPr>
        <w:t>是</w:t>
      </w:r>
      <w:r>
        <w:rPr>
          <w:rFonts w:hint="default" w:ascii="楷体_GB2312" w:hAnsi="宋体" w:eastAsia="楷体_GB2312" w:cs="宋体"/>
          <w:color w:val="auto"/>
          <w:spacing w:val="8"/>
          <w:kern w:val="0"/>
          <w:sz w:val="32"/>
          <w:szCs w:val="32"/>
          <w:lang w:val="en-US"/>
        </w:rPr>
        <w:t>有序推进主动公开</w:t>
      </w:r>
      <w:r>
        <w:rPr>
          <w:rFonts w:hint="eastAsia" w:ascii="楷体_GB2312" w:hAnsi="宋体" w:eastAsia="楷体_GB2312" w:cs="宋体"/>
          <w:color w:val="auto"/>
          <w:spacing w:val="8"/>
          <w:kern w:val="0"/>
          <w:sz w:val="32"/>
          <w:szCs w:val="32"/>
          <w:lang w:val="en-US" w:eastAsia="zh-CN"/>
        </w:rPr>
        <w:t>。</w:t>
      </w:r>
      <w:r>
        <w:rPr>
          <w:rFonts w:hint="default" w:ascii="仿宋_GB2312" w:hAnsi="仿宋_GB2312" w:eastAsia="仿宋_GB2312" w:cs="仿宋_GB2312"/>
          <w:color w:val="auto"/>
          <w:spacing w:val="8"/>
          <w:kern w:val="0"/>
          <w:sz w:val="32"/>
          <w:szCs w:val="32"/>
          <w:lang w:val="en-US"/>
        </w:rPr>
        <w:t>严格履行法定公开义务，按照“公开为常态、不公开为例外”的原则，主动及时公开监管动态、办事服务等信息，</w:t>
      </w:r>
      <w:r>
        <w:rPr>
          <w:rFonts w:hint="eastAsia" w:ascii="仿宋_GB2312" w:hAnsi="仿宋_GB2312" w:eastAsia="仿宋_GB2312" w:cs="仿宋_GB2312"/>
          <w:color w:val="auto"/>
          <w:spacing w:val="8"/>
          <w:kern w:val="0"/>
          <w:sz w:val="32"/>
          <w:szCs w:val="32"/>
          <w:lang w:val="en-US" w:eastAsia="zh-CN"/>
        </w:rPr>
        <w:t>全年</w:t>
      </w:r>
      <w:r>
        <w:rPr>
          <w:rFonts w:hint="default" w:ascii="仿宋_GB2312" w:hAnsi="仿宋_GB2312" w:eastAsia="仿宋_GB2312" w:cs="仿宋_GB2312"/>
          <w:color w:val="auto"/>
          <w:spacing w:val="8"/>
          <w:kern w:val="0"/>
          <w:sz w:val="32"/>
          <w:szCs w:val="32"/>
          <w:lang w:val="en-US"/>
        </w:rPr>
        <w:t>主动公开政府信息8</w:t>
      </w:r>
      <w:r>
        <w:rPr>
          <w:rFonts w:hint="eastAsia" w:ascii="仿宋_GB2312" w:hAnsi="仿宋_GB2312" w:eastAsia="仿宋_GB2312" w:cs="仿宋_GB2312"/>
          <w:color w:val="auto"/>
          <w:spacing w:val="8"/>
          <w:kern w:val="0"/>
          <w:sz w:val="32"/>
          <w:szCs w:val="32"/>
          <w:lang w:val="en-US" w:eastAsia="zh-CN"/>
        </w:rPr>
        <w:t>6344</w:t>
      </w:r>
      <w:r>
        <w:rPr>
          <w:rFonts w:hint="default" w:ascii="仿宋_GB2312" w:hAnsi="仿宋_GB2312" w:eastAsia="仿宋_GB2312" w:cs="仿宋_GB2312"/>
          <w:color w:val="auto"/>
          <w:spacing w:val="8"/>
          <w:kern w:val="0"/>
          <w:sz w:val="32"/>
          <w:szCs w:val="32"/>
          <w:lang w:val="en-US"/>
        </w:rPr>
        <w:t>条。强化政</w:t>
      </w:r>
      <w:r>
        <w:rPr>
          <w:rFonts w:hint="eastAsia" w:ascii="仿宋_GB2312" w:hAnsi="仿宋_GB2312" w:eastAsia="仿宋_GB2312" w:cs="仿宋_GB2312"/>
          <w:color w:val="auto"/>
          <w:spacing w:val="8"/>
          <w:kern w:val="0"/>
          <w:sz w:val="32"/>
          <w:szCs w:val="32"/>
          <w:lang w:val="en-US" w:eastAsia="zh-CN"/>
        </w:rPr>
        <w:t>府信息</w:t>
      </w:r>
      <w:r>
        <w:rPr>
          <w:rFonts w:hint="default" w:ascii="仿宋_GB2312" w:hAnsi="仿宋_GB2312" w:eastAsia="仿宋_GB2312" w:cs="仿宋_GB2312"/>
          <w:color w:val="auto"/>
          <w:spacing w:val="8"/>
          <w:kern w:val="0"/>
          <w:sz w:val="32"/>
          <w:szCs w:val="32"/>
          <w:lang w:val="en-US"/>
        </w:rPr>
        <w:t>公开全清单管理，根据我局工作职责、业务事项等情况，全面、及时调整清单事项。按照《北京市行政执法信息公示办法》有关要求，强化执法信息公示公开，全面公开本单位执法人员、行政权责事项清单、以及执法流程等信息，及时公开年度行政检查计划、行政许可、检查等执法动态信息。结合新版行政许可清单实施更新市级政务服务事项办事指南，明确设定依据、办理条件、材料要求、办理时限等信息，在市局官网政务服务专栏通过链接首都之窗办事指南方式实现两个办事指南的同源管理。</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color w:val="auto"/>
          <w:spacing w:val="8"/>
          <w:kern w:val="0"/>
          <w:sz w:val="32"/>
          <w:szCs w:val="32"/>
          <w:lang w:val="en-US"/>
        </w:rPr>
      </w:pPr>
      <w:r>
        <w:rPr>
          <w:rFonts w:hint="default" w:ascii="楷体_GB2312" w:hAnsi="宋体" w:eastAsia="楷体_GB2312" w:cs="宋体"/>
          <w:color w:val="auto"/>
          <w:spacing w:val="8"/>
          <w:kern w:val="0"/>
          <w:sz w:val="32"/>
          <w:szCs w:val="32"/>
          <w:lang w:val="en-US"/>
        </w:rPr>
        <w:t>二</w:t>
      </w:r>
      <w:r>
        <w:rPr>
          <w:rFonts w:hint="eastAsia" w:ascii="楷体_GB2312" w:hAnsi="宋体" w:eastAsia="楷体_GB2312" w:cs="宋体"/>
          <w:color w:val="auto"/>
          <w:spacing w:val="8"/>
          <w:kern w:val="0"/>
          <w:sz w:val="32"/>
          <w:szCs w:val="32"/>
          <w:lang w:val="en-US" w:eastAsia="zh-CN"/>
        </w:rPr>
        <w:t>是</w:t>
      </w:r>
      <w:r>
        <w:rPr>
          <w:rFonts w:hint="default" w:ascii="楷体_GB2312" w:hAnsi="宋体" w:eastAsia="楷体_GB2312" w:cs="宋体"/>
          <w:color w:val="auto"/>
          <w:spacing w:val="8"/>
          <w:kern w:val="0"/>
          <w:sz w:val="32"/>
          <w:szCs w:val="32"/>
          <w:lang w:val="en-US"/>
        </w:rPr>
        <w:t>依法规范依申请公开</w:t>
      </w:r>
      <w:r>
        <w:rPr>
          <w:rFonts w:hint="eastAsia" w:ascii="楷体_GB2312" w:hAnsi="宋体" w:eastAsia="楷体_GB2312" w:cs="宋体"/>
          <w:color w:val="auto"/>
          <w:spacing w:val="8"/>
          <w:kern w:val="0"/>
          <w:sz w:val="32"/>
          <w:szCs w:val="32"/>
          <w:lang w:val="en-US" w:eastAsia="zh-CN"/>
        </w:rPr>
        <w:t>。</w:t>
      </w:r>
      <w:r>
        <w:rPr>
          <w:rFonts w:hint="default" w:ascii="仿宋_GB2312" w:hAnsi="仿宋_GB2312" w:eastAsia="仿宋_GB2312" w:cs="仿宋_GB2312"/>
          <w:color w:val="auto"/>
          <w:spacing w:val="8"/>
          <w:kern w:val="0"/>
          <w:sz w:val="32"/>
          <w:szCs w:val="32"/>
          <w:lang w:val="en-US"/>
        </w:rPr>
        <w:t>及时更新《政府信息公开指南》相关内容，明确公示政府信息公开机构、申请方式、答复时限、权利救济途径等内容，畅通依申请公开受理渠道。组织依申请公开业务培训，加强信息公开业务会商，确保依法依规按程序按时限答复。</w:t>
      </w:r>
      <w:r>
        <w:rPr>
          <w:rFonts w:hint="eastAsia" w:ascii="仿宋_GB2312" w:hAnsi="仿宋_GB2312" w:eastAsia="仿宋_GB2312" w:cs="仿宋_GB2312"/>
          <w:color w:val="auto"/>
          <w:spacing w:val="8"/>
          <w:kern w:val="0"/>
          <w:sz w:val="32"/>
          <w:szCs w:val="32"/>
          <w:lang w:val="en-US" w:eastAsia="zh-CN"/>
        </w:rPr>
        <w:t>全</w:t>
      </w:r>
      <w:r>
        <w:rPr>
          <w:rFonts w:hint="default" w:ascii="仿宋_GB2312" w:hAnsi="仿宋_GB2312" w:eastAsia="仿宋_GB2312" w:cs="仿宋_GB2312"/>
          <w:color w:val="auto"/>
          <w:spacing w:val="8"/>
          <w:kern w:val="0"/>
          <w:sz w:val="32"/>
          <w:szCs w:val="32"/>
          <w:lang w:val="en-US"/>
        </w:rPr>
        <w:t>年收到依申请公开3</w:t>
      </w:r>
      <w:r>
        <w:rPr>
          <w:rFonts w:hint="eastAsia" w:ascii="仿宋_GB2312" w:hAnsi="仿宋_GB2312" w:eastAsia="仿宋_GB2312" w:cs="仿宋_GB2312"/>
          <w:color w:val="auto"/>
          <w:spacing w:val="8"/>
          <w:kern w:val="0"/>
          <w:sz w:val="32"/>
          <w:szCs w:val="32"/>
          <w:lang w:val="en-US" w:eastAsia="zh-CN"/>
        </w:rPr>
        <w:t>8</w:t>
      </w:r>
      <w:r>
        <w:rPr>
          <w:rFonts w:hint="default" w:ascii="仿宋_GB2312" w:hAnsi="仿宋_GB2312" w:eastAsia="仿宋_GB2312" w:cs="仿宋_GB2312"/>
          <w:color w:val="auto"/>
          <w:spacing w:val="8"/>
          <w:kern w:val="0"/>
          <w:sz w:val="32"/>
          <w:szCs w:val="32"/>
          <w:lang w:val="en-US"/>
        </w:rPr>
        <w:t>件，</w:t>
      </w:r>
      <w:r>
        <w:rPr>
          <w:rFonts w:hint="eastAsia" w:ascii="仿宋_GB2312" w:hAnsi="仿宋_GB2312" w:eastAsia="仿宋_GB2312" w:cs="仿宋_GB2312"/>
          <w:color w:val="auto"/>
          <w:spacing w:val="8"/>
          <w:kern w:val="0"/>
          <w:sz w:val="32"/>
          <w:szCs w:val="32"/>
          <w:lang w:val="en-US" w:eastAsia="zh-CN"/>
        </w:rPr>
        <w:t>均依法及时</w:t>
      </w:r>
      <w:r>
        <w:rPr>
          <w:rFonts w:hint="default" w:ascii="仿宋_GB2312" w:hAnsi="仿宋_GB2312" w:eastAsia="仿宋_GB2312" w:cs="仿宋_GB2312"/>
          <w:color w:val="auto"/>
          <w:spacing w:val="8"/>
          <w:kern w:val="0"/>
          <w:sz w:val="32"/>
          <w:szCs w:val="32"/>
          <w:lang w:val="en-US"/>
        </w:rPr>
        <w:t>办结，在答复告知书中明确告知法定依据和救济渠道，无行政复议驳回和行政诉讼败诉情况。按照全市统一部署，及时上线、使用信息公开电子印章。按要求及时编制政府信息公开工作年报，确保格式规范、发布及时、内容完整。</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仿宋_GB2312" w:eastAsia="仿宋_GB2312" w:cs="仿宋_GB2312"/>
          <w:color w:val="auto"/>
          <w:spacing w:val="8"/>
          <w:kern w:val="0"/>
          <w:sz w:val="32"/>
          <w:szCs w:val="32"/>
          <w:lang w:val="en-US"/>
        </w:rPr>
      </w:pPr>
      <w:r>
        <w:rPr>
          <w:rFonts w:hint="default" w:ascii="楷体_GB2312" w:hAnsi="宋体" w:eastAsia="楷体_GB2312" w:cs="宋体"/>
          <w:color w:val="auto"/>
          <w:spacing w:val="8"/>
          <w:kern w:val="0"/>
          <w:sz w:val="32"/>
          <w:szCs w:val="32"/>
          <w:lang w:val="en-US"/>
        </w:rPr>
        <w:t>三</w:t>
      </w:r>
      <w:r>
        <w:rPr>
          <w:rFonts w:hint="eastAsia" w:ascii="楷体_GB2312" w:hAnsi="宋体" w:eastAsia="楷体_GB2312" w:cs="宋体"/>
          <w:color w:val="auto"/>
          <w:spacing w:val="8"/>
          <w:kern w:val="0"/>
          <w:sz w:val="32"/>
          <w:szCs w:val="32"/>
          <w:lang w:val="en-US" w:eastAsia="zh-CN"/>
        </w:rPr>
        <w:t>是</w:t>
      </w:r>
      <w:r>
        <w:rPr>
          <w:rFonts w:hint="default" w:ascii="楷体_GB2312" w:hAnsi="宋体" w:eastAsia="楷体_GB2312" w:cs="宋体"/>
          <w:color w:val="auto"/>
          <w:spacing w:val="8"/>
          <w:kern w:val="0"/>
          <w:sz w:val="32"/>
          <w:szCs w:val="32"/>
          <w:lang w:val="en-US"/>
        </w:rPr>
        <w:t>持续优化政策服务</w:t>
      </w:r>
      <w:r>
        <w:rPr>
          <w:rFonts w:hint="eastAsia" w:ascii="楷体_GB2312" w:hAnsi="宋体" w:eastAsia="楷体_GB2312" w:cs="宋体"/>
          <w:color w:val="auto"/>
          <w:spacing w:val="8"/>
          <w:kern w:val="0"/>
          <w:sz w:val="32"/>
          <w:szCs w:val="32"/>
          <w:lang w:val="en-US" w:eastAsia="zh-CN"/>
        </w:rPr>
        <w:t>。</w:t>
      </w:r>
      <w:r>
        <w:rPr>
          <w:rFonts w:hint="default" w:ascii="仿宋_GB2312" w:hAnsi="仿宋_GB2312" w:eastAsia="仿宋_GB2312" w:cs="仿宋_GB2312"/>
          <w:color w:val="auto"/>
          <w:spacing w:val="8"/>
          <w:kern w:val="0"/>
          <w:sz w:val="32"/>
          <w:szCs w:val="32"/>
          <w:lang w:val="en-US"/>
        </w:rPr>
        <w:t>在市政府门户网站“首都之窗”和我局官方网站同步开展政策性文件向社会公开征集意见，</w:t>
      </w:r>
      <w:r>
        <w:rPr>
          <w:rFonts w:hint="eastAsia" w:ascii="仿宋_GB2312" w:hAnsi="仿宋_GB2312" w:eastAsia="仿宋_GB2312" w:cs="仿宋_GB2312"/>
          <w:color w:val="auto"/>
          <w:spacing w:val="8"/>
          <w:kern w:val="0"/>
          <w:sz w:val="32"/>
          <w:szCs w:val="32"/>
          <w:lang w:val="en-US" w:eastAsia="zh-CN"/>
        </w:rPr>
        <w:t>并及时</w:t>
      </w:r>
      <w:r>
        <w:rPr>
          <w:rFonts w:hint="default" w:ascii="仿宋_GB2312" w:hAnsi="仿宋_GB2312" w:eastAsia="仿宋_GB2312" w:cs="仿宋_GB2312"/>
          <w:color w:val="auto"/>
          <w:spacing w:val="8"/>
          <w:kern w:val="0"/>
          <w:sz w:val="32"/>
          <w:szCs w:val="32"/>
          <w:lang w:val="en-US"/>
        </w:rPr>
        <w:t>反馈征集结果。在官网对政策性文件进行集中规范发布，并同步发布政策解读，做到政策文件与政策解读同步起草、同步审签、同步发布；解读方式采用文字、图表图解、视频等多种展现形式，提升政策解读质量。</w:t>
      </w:r>
      <w:r>
        <w:rPr>
          <w:rFonts w:hint="eastAsia" w:ascii="仿宋_GB2312" w:hAnsi="仿宋_GB2312" w:eastAsia="仿宋_GB2312" w:cs="仿宋_GB2312"/>
          <w:color w:val="auto"/>
          <w:spacing w:val="8"/>
          <w:kern w:val="0"/>
          <w:sz w:val="32"/>
          <w:szCs w:val="32"/>
          <w:lang w:val="en-US" w:eastAsia="zh-CN"/>
        </w:rPr>
        <w:t>全年</w:t>
      </w:r>
      <w:r>
        <w:rPr>
          <w:rFonts w:hint="default" w:ascii="仿宋_GB2312" w:hAnsi="仿宋_GB2312" w:eastAsia="仿宋_GB2312" w:cs="仿宋_GB2312"/>
          <w:color w:val="auto"/>
          <w:spacing w:val="8"/>
          <w:kern w:val="0"/>
          <w:sz w:val="32"/>
          <w:szCs w:val="32"/>
          <w:lang w:val="en-US"/>
        </w:rPr>
        <w:t>发布政策文件、政策解读各1</w:t>
      </w:r>
      <w:r>
        <w:rPr>
          <w:rFonts w:hint="eastAsia" w:ascii="仿宋_GB2312" w:hAnsi="仿宋_GB2312" w:eastAsia="仿宋_GB2312" w:cs="仿宋_GB2312"/>
          <w:color w:val="auto"/>
          <w:spacing w:val="8"/>
          <w:kern w:val="0"/>
          <w:sz w:val="32"/>
          <w:szCs w:val="32"/>
          <w:lang w:val="en-US" w:eastAsia="zh-CN"/>
        </w:rPr>
        <w:t>8</w:t>
      </w:r>
      <w:r>
        <w:rPr>
          <w:rFonts w:hint="default" w:ascii="仿宋_GB2312" w:hAnsi="仿宋_GB2312" w:eastAsia="仿宋_GB2312" w:cs="仿宋_GB2312"/>
          <w:color w:val="auto"/>
          <w:spacing w:val="8"/>
          <w:kern w:val="0"/>
          <w:sz w:val="32"/>
          <w:szCs w:val="32"/>
          <w:lang w:val="en-US"/>
        </w:rPr>
        <w:t>篇。</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kern w:val="0"/>
          <w:sz w:val="32"/>
          <w:szCs w:val="32"/>
        </w:rPr>
      </w:pPr>
      <w:r>
        <w:rPr>
          <w:rFonts w:hint="default" w:ascii="楷体_GB2312" w:hAnsi="宋体" w:eastAsia="楷体_GB2312" w:cs="宋体"/>
          <w:color w:val="auto"/>
          <w:spacing w:val="8"/>
          <w:kern w:val="0"/>
          <w:sz w:val="32"/>
          <w:szCs w:val="32"/>
          <w:lang w:val="en-US"/>
        </w:rPr>
        <w:t>四</w:t>
      </w:r>
      <w:r>
        <w:rPr>
          <w:rFonts w:hint="eastAsia" w:ascii="楷体_GB2312" w:hAnsi="宋体" w:eastAsia="楷体_GB2312" w:cs="宋体"/>
          <w:color w:val="auto"/>
          <w:spacing w:val="8"/>
          <w:kern w:val="0"/>
          <w:sz w:val="32"/>
          <w:szCs w:val="32"/>
          <w:lang w:val="en-US" w:eastAsia="zh-CN"/>
        </w:rPr>
        <w:t>是</w:t>
      </w:r>
      <w:r>
        <w:rPr>
          <w:rFonts w:hint="default" w:ascii="楷体_GB2312" w:hAnsi="宋体" w:eastAsia="楷体_GB2312" w:cs="宋体"/>
          <w:color w:val="auto"/>
          <w:spacing w:val="8"/>
          <w:kern w:val="0"/>
          <w:sz w:val="32"/>
          <w:szCs w:val="32"/>
          <w:lang w:val="en-US"/>
        </w:rPr>
        <w:t>不断完善平台建设</w:t>
      </w:r>
      <w:r>
        <w:rPr>
          <w:rFonts w:hint="eastAsia" w:ascii="楷体_GB2312" w:hAnsi="宋体" w:eastAsia="楷体_GB2312" w:cs="宋体"/>
          <w:color w:val="auto"/>
          <w:spacing w:val="8"/>
          <w:kern w:val="0"/>
          <w:sz w:val="32"/>
          <w:szCs w:val="32"/>
          <w:lang w:val="en-US" w:eastAsia="zh-CN"/>
        </w:rPr>
        <w:t>。</w:t>
      </w:r>
      <w:r>
        <w:rPr>
          <w:rFonts w:hint="eastAsia" w:ascii="仿宋_GB2312" w:hAnsi="仿宋_GB2312" w:eastAsia="仿宋_GB2312" w:cs="仿宋_GB2312"/>
          <w:color w:val="auto"/>
          <w:spacing w:val="8"/>
          <w:kern w:val="0"/>
          <w:sz w:val="32"/>
          <w:szCs w:val="32"/>
          <w:lang w:val="en-US"/>
        </w:rPr>
        <w:t>突出用户思维和服务导向，精心设计网站栏目；2024完成政府网站语音搜索服务工作、政府网站政策视图栏目调整与整改。微信公众号“政民互动”栏目下设“一网通办”“咨询建议”“投诉举报”等子栏目，拓展为民服务渠道。安排专人每日检查政府网站、政务新媒体</w:t>
      </w:r>
      <w:r>
        <w:rPr>
          <w:rFonts w:hint="eastAsia" w:ascii="仿宋_GB2312" w:hAnsi="仿宋_GB2312" w:eastAsia="仿宋_GB2312" w:cs="仿宋_GB2312"/>
          <w:color w:val="auto"/>
          <w:spacing w:val="8"/>
          <w:kern w:val="0"/>
          <w:sz w:val="32"/>
          <w:szCs w:val="32"/>
          <w:lang w:val="en-US" w:eastAsia="zh-CN"/>
        </w:rPr>
        <w:t>，杜绝</w:t>
      </w:r>
      <w:r>
        <w:rPr>
          <w:rFonts w:hint="eastAsia" w:ascii="仿宋_GB2312" w:hAnsi="仿宋_GB2312" w:eastAsia="仿宋_GB2312" w:cs="仿宋_GB2312"/>
          <w:color w:val="auto"/>
          <w:spacing w:val="8"/>
          <w:kern w:val="0"/>
          <w:sz w:val="32"/>
          <w:szCs w:val="32"/>
          <w:lang w:val="en-US"/>
        </w:rPr>
        <w:t>出现安全、泄密、表述错误等问题。</w:t>
      </w:r>
    </w:p>
    <w:p>
      <w:pPr>
        <w:numPr>
          <w:numId w:val="0"/>
        </w:numPr>
        <w:spacing w:line="560" w:lineRule="exact"/>
        <w:ind w:leftChars="200" w:firstLine="320" w:firstLineChars="100"/>
        <w:rPr>
          <w:rFonts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主动公开政府信息情况</w:t>
      </w:r>
    </w:p>
    <w:p>
      <w:pPr>
        <w:pStyle w:val="2"/>
        <w:rPr>
          <w:color w:val="auto"/>
        </w:rPr>
      </w:pP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rPr>
                <w:rFonts w:ascii="宋体" w:hAnsi="宋体" w:cs="宋体"/>
                <w:color w:val="auto"/>
                <w:kern w:val="0"/>
                <w:sz w:val="20"/>
                <w:szCs w:val="20"/>
                <w:lang w:bidi="ar"/>
              </w:rPr>
            </w:pPr>
            <w:r>
              <w:rPr>
                <w:rFonts w:hint="eastAsia" w:ascii="宋体" w:hAnsi="宋体" w:cs="宋体"/>
                <w:color w:val="auto"/>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eastAsia="宋体" w:cs="Calibri"/>
                <w:color w:val="auto"/>
                <w:kern w:val="0"/>
                <w:sz w:val="20"/>
                <w:szCs w:val="20"/>
                <w:lang w:val="en-US" w:eastAsia="zh-CN" w:bidi="ar"/>
              </w:rPr>
            </w:pPr>
            <w:r>
              <w:rPr>
                <w:rFonts w:hint="eastAsia" w:cs="Calibri"/>
                <w:color w:val="auto"/>
                <w:kern w:val="0"/>
                <w:sz w:val="20"/>
                <w:szCs w:val="20"/>
                <w:lang w:val="en-US" w:eastAsia="zh-CN" w:bidi="ar"/>
              </w:rPr>
              <w:t>11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eastAsia="宋体" w:cs="Calibri"/>
                <w:color w:val="auto"/>
                <w:kern w:val="0"/>
                <w:sz w:val="20"/>
                <w:szCs w:val="20"/>
                <w:lang w:val="en-US" w:eastAsia="zh-CN" w:bidi="ar"/>
              </w:rPr>
            </w:pPr>
            <w:r>
              <w:rPr>
                <w:rFonts w:hint="eastAsia" w:cs="Calibri"/>
                <w:color w:val="auto"/>
                <w:kern w:val="0"/>
                <w:sz w:val="20"/>
                <w:szCs w:val="20"/>
                <w:lang w:val="en-US" w:eastAsia="zh-CN" w:bidi="ar"/>
              </w:rPr>
              <w:t>39</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第二十条第（五）项</w:t>
            </w:r>
          </w:p>
        </w:tc>
      </w:tr>
      <w:tr>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eastAsia="宋体"/>
                <w:color w:val="auto"/>
                <w:lang w:val="en-US" w:eastAsia="zh-CN"/>
              </w:rPr>
            </w:pPr>
            <w:r>
              <w:rPr>
                <w:rFonts w:hint="eastAsia"/>
                <w:color w:val="auto"/>
                <w:lang w:val="en-US" w:eastAsia="zh-CN"/>
              </w:rPr>
              <w:t>20841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cs="Calibri"/>
                <w:color w:val="auto"/>
                <w:kern w:val="0"/>
                <w:sz w:val="20"/>
                <w:szCs w:val="20"/>
                <w:lang w:bidi="ar"/>
              </w:rPr>
            </w:pPr>
            <w:r>
              <w:rPr>
                <w:rFonts w:hint="eastAsia" w:cs="Calibri"/>
                <w:color w:val="auto"/>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cs="Calibri"/>
                <w:color w:val="auto"/>
                <w:kern w:val="0"/>
                <w:sz w:val="20"/>
                <w:szCs w:val="20"/>
                <w:lang w:bidi="ar"/>
              </w:rPr>
            </w:pPr>
            <w:r>
              <w:rPr>
                <w:rFonts w:hint="eastAsia" w:cs="Calibri"/>
                <w:color w:val="auto"/>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hint="default" w:ascii="宋体" w:eastAsia="宋体"/>
                <w:color w:val="auto"/>
                <w:sz w:val="24"/>
                <w:lang w:val="en-US" w:eastAsia="zh-CN"/>
              </w:rPr>
            </w:pPr>
            <w:r>
              <w:rPr>
                <w:rFonts w:hint="eastAsia" w:cs="Calibri"/>
                <w:color w:val="auto"/>
                <w:kern w:val="0"/>
                <w:sz w:val="20"/>
                <w:szCs w:val="20"/>
                <w:lang w:val="en-US" w:eastAsia="zh-CN" w:bidi="ar"/>
              </w:rPr>
              <w:t>36.91</w:t>
            </w:r>
          </w:p>
        </w:tc>
      </w:tr>
    </w:tbl>
    <w:p>
      <w:pPr>
        <w:pStyle w:val="2"/>
        <w:spacing w:line="560" w:lineRule="exact"/>
        <w:rPr>
          <w:color w:val="auto"/>
        </w:rPr>
      </w:pPr>
    </w:p>
    <w:p>
      <w:pPr>
        <w:numPr>
          <w:numId w:val="0"/>
        </w:numPr>
        <w:spacing w:line="560" w:lineRule="exact"/>
        <w:ind w:leftChars="200"/>
        <w:rPr>
          <w:rFonts w:ascii="黑体" w:hAnsi="黑体" w:eastAsia="黑体" w:cs="黑体"/>
          <w:color w:val="auto"/>
          <w:sz w:val="32"/>
          <w:szCs w:val="32"/>
        </w:rPr>
      </w:pPr>
      <w:r>
        <w:rPr>
          <w:rFonts w:hint="eastAsia" w:ascii="黑体" w:hAnsi="黑体" w:eastAsia="黑体" w:cs="黑体"/>
          <w:color w:val="auto"/>
          <w:sz w:val="32"/>
          <w:szCs w:val="32"/>
          <w:lang w:eastAsia="zh-CN"/>
        </w:rPr>
        <w:t>三、</w:t>
      </w:r>
      <w:bookmarkStart w:id="0" w:name="_GoBack"/>
      <w:bookmarkEnd w:id="0"/>
      <w:r>
        <w:rPr>
          <w:rFonts w:hint="eastAsia" w:ascii="黑体" w:hAnsi="黑体" w:eastAsia="黑体" w:cs="黑体"/>
          <w:color w:val="auto"/>
          <w:sz w:val="32"/>
          <w:szCs w:val="32"/>
        </w:rPr>
        <w:t>收到和处理政府信息公开申请情况</w:t>
      </w:r>
    </w:p>
    <w:p>
      <w:pPr>
        <w:pStyle w:val="2"/>
        <w:rPr>
          <w:color w:val="auto"/>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8"/>
        <w:gridCol w:w="691"/>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widowControl/>
              <w:jc w:val="left"/>
              <w:rPr>
                <w:color w:val="auto"/>
              </w:rPr>
            </w:pPr>
            <w:r>
              <w:rPr>
                <w:rFonts w:hint="eastAsia" w:ascii="楷体" w:hAnsi="楷体" w:eastAsia="楷体" w:cs="楷体"/>
                <w:color w:val="auto"/>
                <w:kern w:val="0"/>
                <w:sz w:val="20"/>
                <w:szCs w:val="20"/>
                <w:lang w:bidi="ar"/>
              </w:rPr>
              <w:t>（本列数据的勾稽关系为：第一项加第二项之和，等于第三项加第四项之和）</w:t>
            </w:r>
          </w:p>
        </w:tc>
        <w:tc>
          <w:tcPr>
            <w:tcW w:w="4819"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outset" w:color="auto" w:sz="8" w:space="0"/>
              <w:right w:val="single" w:color="auto" w:sz="8" w:space="0"/>
            </w:tcBorders>
            <w:vAlign w:val="center"/>
          </w:tcPr>
          <w:p>
            <w:pPr>
              <w:widowControl/>
              <w:jc w:val="left"/>
              <w:rPr>
                <w:color w:val="auto"/>
              </w:rPr>
            </w:pPr>
          </w:p>
        </w:tc>
        <w:tc>
          <w:tcPr>
            <w:tcW w:w="691"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outset" w:color="auto" w:sz="8" w:space="0"/>
              <w:right w:val="single" w:color="auto" w:sz="8" w:space="0"/>
            </w:tcBorders>
            <w:vAlign w:val="center"/>
          </w:tcPr>
          <w:p>
            <w:pPr>
              <w:widowControl/>
              <w:jc w:val="left"/>
              <w:rPr>
                <w:color w:val="auto"/>
              </w:rPr>
            </w:pPr>
          </w:p>
        </w:tc>
        <w:tc>
          <w:tcPr>
            <w:tcW w:w="691" w:type="dxa"/>
            <w:vMerge w:val="continue"/>
            <w:tcBorders>
              <w:top w:val="nil"/>
              <w:left w:val="nil"/>
              <w:bottom w:val="single" w:color="auto" w:sz="8" w:space="0"/>
              <w:right w:val="single" w:color="auto" w:sz="8" w:space="0"/>
            </w:tcBorders>
            <w:vAlign w:val="center"/>
          </w:tcPr>
          <w:p>
            <w:pPr>
              <w:widowControl/>
              <w:jc w:val="left"/>
              <w:rPr>
                <w:color w:val="auto"/>
              </w:rPr>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商业</w:t>
            </w:r>
          </w:p>
          <w:p>
            <w:pPr>
              <w:widowControl/>
              <w:jc w:val="center"/>
              <w:rPr>
                <w:color w:val="auto"/>
              </w:rPr>
            </w:pPr>
            <w:r>
              <w:rPr>
                <w:rFonts w:hint="eastAsia" w:ascii="宋体" w:hAnsi="宋体" w:cs="宋体"/>
                <w:color w:val="auto"/>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科研</w:t>
            </w:r>
          </w:p>
          <w:p>
            <w:pPr>
              <w:widowControl/>
              <w:jc w:val="center"/>
              <w:rPr>
                <w:color w:val="auto"/>
              </w:rPr>
            </w:pPr>
            <w:r>
              <w:rPr>
                <w:rFonts w:hint="eastAsia" w:ascii="宋体" w:hAnsi="宋体" w:cs="宋体"/>
                <w:color w:val="auto"/>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jc w:val="center"/>
              <w:rPr>
                <w:color w:val="auto"/>
              </w:rPr>
            </w:pPr>
            <w:r>
              <w:rPr>
                <w:rFonts w:hint="eastAsia" w:ascii="宋体" w:hAnsi="宋体" w:cs="宋体"/>
                <w:color w:val="auto"/>
                <w:kern w:val="0"/>
                <w:sz w:val="20"/>
                <w:szCs w:val="20"/>
                <w:lang w:bidi="ar"/>
              </w:rPr>
              <w:t>其他</w:t>
            </w:r>
          </w:p>
        </w:tc>
        <w:tc>
          <w:tcPr>
            <w:tcW w:w="0" w:type="auto"/>
            <w:vMerge w:val="continue"/>
            <w:tcBorders>
              <w:top w:val="single" w:color="auto" w:sz="8" w:space="0"/>
              <w:left w:val="nil"/>
              <w:bottom w:val="outset" w:color="auto" w:sz="8" w:space="0"/>
              <w:right w:val="single" w:color="auto" w:sz="8" w:space="0"/>
            </w:tcBorders>
            <w:vAlign w:val="center"/>
          </w:tcPr>
          <w:p>
            <w:pPr>
              <w:widowControl/>
              <w:jc w:val="left"/>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一、本年新收政府信息公开申请数量</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eastAsia="宋体"/>
                <w:color w:val="auto"/>
                <w:lang w:val="en-US" w:eastAsia="zh-CN"/>
              </w:rPr>
            </w:pPr>
            <w:r>
              <w:rPr>
                <w:rFonts w:hint="eastAsia"/>
                <w:color w:val="auto"/>
                <w:lang w:val="en-US" w:eastAsia="zh-CN"/>
              </w:rPr>
              <w:t>35</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olor w:val="auto"/>
                <w:lang w:val="en-US" w:eastAsia="zh-CN"/>
              </w:rPr>
            </w:pPr>
            <w:r>
              <w:rPr>
                <w:rFonts w:hint="eastAsia" w:cs="Calibri"/>
                <w:color w:val="auto"/>
                <w:kern w:val="0"/>
                <w:sz w:val="20"/>
                <w:szCs w:val="20"/>
                <w:lang w:val="en-US" w:eastAsia="zh-CN" w:bidi="ar"/>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eastAsia="宋体"/>
                <w:color w:val="auto"/>
                <w:lang w:val="en-US" w:eastAsia="zh-CN"/>
              </w:rPr>
            </w:pPr>
            <w:r>
              <w:rPr>
                <w:rFonts w:hint="eastAsia"/>
                <w:color w:val="auto"/>
                <w:lang w:val="en-US" w:eastAsia="zh-CN"/>
              </w:rPr>
              <w:t>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二、上年结转政府信息公开申请数量</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default" w:eastAsia="宋体"/>
                <w:color w:val="auto"/>
                <w:lang w:val="en-US" w:eastAsia="zh-CN"/>
              </w:rPr>
            </w:pPr>
            <w:r>
              <w:rPr>
                <w:rFonts w:hint="eastAsia"/>
                <w:color w:va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三、本年度办理结果</w:t>
            </w: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（一）予以公开</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olor w:val="auto"/>
                <w:lang w:val="en-US" w:eastAsia="zh-CN"/>
              </w:rPr>
            </w:pPr>
            <w:r>
              <w:rPr>
                <w:rFonts w:hint="eastAsia"/>
                <w:color w:val="auto"/>
                <w:lang w:val="en-US" w:eastAsia="zh-CN"/>
              </w:rPr>
              <w:t>9</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color w:val="auto"/>
                <w:lang w:val="en-US" w:eastAsia="zh-CN"/>
              </w:rPr>
            </w:pPr>
            <w:r>
              <w:rPr>
                <w:rFonts w:hint="eastAsia"/>
                <w:color w:val="auto"/>
                <w:lang w:val="en-US" w:eastAsia="zh-CN"/>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（二）部分公开</w:t>
            </w:r>
            <w:r>
              <w:rPr>
                <w:rFonts w:hint="eastAsia" w:ascii="楷体" w:hAnsi="楷体" w:eastAsia="楷体" w:cs="楷体"/>
                <w:color w:val="auto"/>
                <w:kern w:val="0"/>
                <w:sz w:val="20"/>
                <w:szCs w:val="20"/>
                <w:lang w:bidi="ar"/>
              </w:rPr>
              <w:t>（区分处理的，只计这一情形，不计其他情形）</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olor w:val="auto"/>
                <w:lang w:val="en-US" w:eastAsia="zh-CN"/>
              </w:rPr>
            </w:pPr>
            <w:r>
              <w:rPr>
                <w:rFonts w:hint="eastAsia"/>
                <w:color w:val="auto"/>
                <w:lang w:val="en-US" w:eastAsia="zh-CN"/>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cs="Calibri"/>
                <w:color w:val="auto"/>
                <w:kern w:val="0"/>
                <w:sz w:val="20"/>
                <w:szCs w:val="20"/>
                <w:lang w:bidi="ar"/>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cs="Calibri"/>
                <w:color w:val="auto"/>
                <w:kern w:val="0"/>
                <w:sz w:val="20"/>
                <w:szCs w:val="20"/>
                <w:lang w:bidi="ar"/>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（三）不予公开</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1.属于国家秘密</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2.其他法律行政法规禁止公开</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3.危及“三安全一稳定”</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4.保护第三方合法权益</w:t>
            </w:r>
          </w:p>
        </w:tc>
        <w:tc>
          <w:tcPr>
            <w:tcW w:w="691"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color w:val="auto"/>
                <w:lang w:eastAsia="zh-CN"/>
              </w:rPr>
            </w:pPr>
            <w:r>
              <w:rPr>
                <w:rFonts w:hint="eastAsia" w:cs="Calibri"/>
                <w:color w:val="auto"/>
                <w:kern w:val="0"/>
                <w:sz w:val="20"/>
                <w:szCs w:val="20"/>
                <w:lang w:val="en-US" w:eastAsia="zh-CN" w:bidi="ar"/>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color w:val="auto"/>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eastAsia="宋体"/>
                <w:color w:val="auto"/>
                <w:lang w:val="en-US" w:eastAsia="zh-CN"/>
              </w:rPr>
            </w:pPr>
            <w:r>
              <w:rPr>
                <w:rFonts w:hint="eastAsia" w:cs="Calibri"/>
                <w:color w:val="auto"/>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5.属于三类内部事务信息</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6.属于四类过程性信息</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7.属于行政执法案卷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6</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8.属于行政查询事项</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（四）无法提供</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1.本机关不掌握相关政府信息</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8</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2.没有现成信息需要另行制作</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3.补正后申请内容仍不明确</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（五）不予处理</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1.信访举报投诉类申请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2.重复申请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3.要求提供公开出版物</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jc w:val="left"/>
              <w:rPr>
                <w:color w:val="auto"/>
              </w:rPr>
            </w:pPr>
            <w:r>
              <w:rPr>
                <w:rFonts w:hint="eastAsia" w:ascii="宋体" w:hAnsi="宋体" w:cs="宋体"/>
                <w:color w:val="auto"/>
                <w:kern w:val="0"/>
                <w:sz w:val="20"/>
                <w:szCs w:val="20"/>
                <w:lang w:bidi="ar"/>
              </w:rPr>
              <w:t>4.无正当理由大量反复申请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0" w:type="auto"/>
            <w:vMerge w:val="continue"/>
            <w:tcBorders>
              <w:top w:val="nil"/>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widowControl/>
              <w:rPr>
                <w:color w:val="auto"/>
              </w:rPr>
            </w:pPr>
            <w:r>
              <w:rPr>
                <w:rFonts w:hint="eastAsia" w:ascii="宋体" w:hAnsi="宋体" w:cs="宋体"/>
                <w:color w:val="auto"/>
                <w:kern w:val="0"/>
                <w:sz w:val="20"/>
                <w:szCs w:val="20"/>
                <w:lang w:bidi="ar"/>
              </w:rPr>
              <w:t>5.要求行政机关确认或重新出具已获取信息</w:t>
            </w:r>
          </w:p>
        </w:tc>
        <w:tc>
          <w:tcPr>
            <w:tcW w:w="691" w:type="dxa"/>
            <w:tcBorders>
              <w:top w:val="nil"/>
              <w:left w:val="nil"/>
              <w:bottom w:val="outset"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943" w:type="dxa"/>
            <w:vMerge w:val="restart"/>
            <w:tcBorders>
              <w:top w:val="outset" w:color="auto" w:sz="8" w:space="0"/>
              <w:left w:val="nil"/>
              <w:right w:val="single" w:color="auto" w:sz="8" w:space="0"/>
            </w:tcBorders>
            <w:shd w:val="clear" w:color="auto" w:fill="DDEBF7"/>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（六）其他处理</w:t>
            </w: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rPr>
                <w:rFonts w:hint="default" w:ascii="Calibri" w:hAnsi="Calibri" w:eastAsia="宋体" w:cs="Times New Roman"/>
                <w:color w:val="auto"/>
                <w:kern w:val="2"/>
                <w:sz w:val="21"/>
                <w:szCs w:val="24"/>
                <w:lang w:val="en-US" w:eastAsia="zh-CN" w:bidi="ar-SA"/>
              </w:rPr>
            </w:pPr>
            <w:r>
              <w:rPr>
                <w:rFonts w:hint="eastAsia" w:ascii="宋体" w:hAnsi="宋体" w:cs="宋体"/>
                <w:color w:val="auto"/>
                <w:kern w:val="0"/>
                <w:sz w:val="20"/>
                <w:szCs w:val="20"/>
                <w:lang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943" w:type="dxa"/>
            <w:vMerge w:val="continue"/>
            <w:tcBorders>
              <w:left w:val="nil"/>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rPr>
                <w:color w:val="auto"/>
              </w:rPr>
            </w:pPr>
            <w:r>
              <w:rPr>
                <w:rFonts w:hint="eastAsia" w:ascii="宋体" w:hAnsi="宋体" w:cs="宋体"/>
                <w:color w:val="auto"/>
                <w:kern w:val="0"/>
                <w:sz w:val="20"/>
                <w:szCs w:val="20"/>
                <w:lang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943" w:type="dxa"/>
            <w:vMerge w:val="continue"/>
            <w:tcBorders>
              <w:left w:val="nil"/>
              <w:bottom w:val="outset" w:color="auto" w:sz="8" w:space="0"/>
              <w:right w:val="single" w:color="auto" w:sz="8" w:space="0"/>
            </w:tcBorders>
            <w:vAlign w:val="center"/>
          </w:tcPr>
          <w:p>
            <w:pPr>
              <w:widowControl/>
              <w:jc w:val="left"/>
              <w:rPr>
                <w:color w:val="auto"/>
              </w:rPr>
            </w:pPr>
          </w:p>
        </w:tc>
        <w:tc>
          <w:tcPr>
            <w:tcW w:w="3218"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3.其他</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outset" w:color="auto" w:sz="8" w:space="0"/>
              <w:right w:val="single" w:color="auto" w:sz="8" w:space="0"/>
            </w:tcBorders>
            <w:vAlign w:val="center"/>
          </w:tcPr>
          <w:p>
            <w:pPr>
              <w:widowControl/>
              <w:jc w:val="left"/>
              <w:rPr>
                <w:color w:val="auto"/>
              </w:rPr>
            </w:pPr>
          </w:p>
        </w:tc>
        <w:tc>
          <w:tcPr>
            <w:tcW w:w="4161"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（七）总计</w:t>
            </w:r>
          </w:p>
        </w:tc>
        <w:tc>
          <w:tcPr>
            <w:tcW w:w="691"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35</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jc w:val="left"/>
              <w:rPr>
                <w:color w:val="auto"/>
              </w:rPr>
            </w:pPr>
            <w:r>
              <w:rPr>
                <w:rFonts w:hint="eastAsia" w:ascii="宋体" w:hAnsi="宋体" w:cs="宋体"/>
                <w:color w:val="auto"/>
                <w:kern w:val="0"/>
                <w:sz w:val="20"/>
                <w:szCs w:val="20"/>
                <w:lang w:bidi="ar"/>
              </w:rPr>
              <w:t>四、结转下年度继续办理</w:t>
            </w:r>
          </w:p>
        </w:tc>
        <w:tc>
          <w:tcPr>
            <w:tcW w:w="691" w:type="dxa"/>
            <w:tcBorders>
              <w:top w:val="outset" w:color="auto" w:sz="6" w:space="0"/>
              <w:left w:val="nil"/>
              <w:bottom w:val="outset" w:color="auto" w:sz="6" w:space="0"/>
              <w:right w:val="outset" w:color="auto" w:sz="6" w:space="0"/>
            </w:tcBorders>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688" w:type="dxa"/>
            <w:tcBorders>
              <w:top w:val="outset" w:color="auto" w:sz="6" w:space="0"/>
              <w:left w:val="nil"/>
              <w:bottom w:val="outset" w:color="auto" w:sz="6" w:space="0"/>
              <w:right w:val="outset" w:color="auto" w:sz="6" w:space="0"/>
            </w:tcBorders>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c>
          <w:tcPr>
            <w:tcW w:w="0" w:type="auto"/>
            <w:tcBorders>
              <w:top w:val="outset" w:color="auto" w:sz="6" w:space="0"/>
              <w:left w:val="nil"/>
              <w:bottom w:val="outset" w:color="auto" w:sz="6" w:space="0"/>
              <w:right w:val="outset" w:color="auto" w:sz="6" w:space="0"/>
            </w:tcBorders>
            <w:vAlign w:val="top"/>
          </w:tcPr>
          <w:p>
            <w:pPr>
              <w:widowControl/>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bidi="ar"/>
              </w:rPr>
              <w:t>0</w:t>
            </w:r>
          </w:p>
        </w:tc>
      </w:tr>
    </w:tbl>
    <w:p>
      <w:pPr>
        <w:pStyle w:val="2"/>
        <w:ind w:left="420" w:leftChars="200"/>
        <w:rPr>
          <w:color w:val="auto"/>
        </w:rPr>
      </w:pP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p>
      <w:pPr>
        <w:widowControl/>
        <w:jc w:val="center"/>
        <w:rPr>
          <w:color w:val="auto"/>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color w:val="auto"/>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color w:val="auto"/>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color w:val="auto"/>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结果</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其他</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尚未</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color w:val="auto"/>
              </w:rPr>
            </w:pPr>
            <w:r>
              <w:rPr>
                <w:rFonts w:hint="eastAsia" w:ascii="宋体" w:hAnsi="宋体" w:cs="宋体"/>
                <w:color w:val="auto"/>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4</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5</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eastAsia="zh-CN" w:bidi="ar"/>
              </w:rPr>
            </w:pPr>
            <w:r>
              <w:rPr>
                <w:rFonts w:hint="eastAsia" w:cs="Calibri"/>
                <w:color w:val="auto"/>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eastAsia="宋体" w:cs="Calibri"/>
                <w:color w:val="auto"/>
                <w:kern w:val="0"/>
                <w:sz w:val="20"/>
                <w:szCs w:val="20"/>
                <w:lang w:val="en-US" w:eastAsia="zh-CN" w:bidi="ar"/>
              </w:rPr>
            </w:pPr>
            <w:r>
              <w:rPr>
                <w:rFonts w:hint="eastAsia" w:cs="Calibri"/>
                <w:color w:val="auto"/>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color w:val="auto"/>
                <w:kern w:val="0"/>
                <w:sz w:val="20"/>
                <w:szCs w:val="20"/>
                <w:lang w:val="en-US" w:eastAsia="zh-CN" w:bidi="ar"/>
              </w:rPr>
            </w:pPr>
            <w:r>
              <w:rPr>
                <w:rFonts w:hint="eastAsia" w:cs="Calibri"/>
                <w:color w:val="auto"/>
                <w:kern w:val="0"/>
                <w:sz w:val="20"/>
                <w:szCs w:val="20"/>
                <w:lang w:val="en-US" w:eastAsia="zh-CN" w:bidi="ar"/>
              </w:rPr>
              <w:t>2</w:t>
            </w:r>
          </w:p>
        </w:tc>
      </w:tr>
    </w:tbl>
    <w:p>
      <w:pPr>
        <w:widowControl/>
        <w:jc w:val="left"/>
        <w:rPr>
          <w:color w:val="auto"/>
        </w:rPr>
      </w:pPr>
    </w:p>
    <w:p>
      <w:pPr>
        <w:widowControl/>
        <w:spacing w:line="560" w:lineRule="exact"/>
        <w:ind w:firstLine="672" w:firstLineChars="200"/>
        <w:jc w:val="left"/>
        <w:rPr>
          <w:rFonts w:ascii="宋体" w:hAnsi="宋体" w:cs="宋体"/>
          <w:color w:val="auto"/>
          <w:spacing w:val="8"/>
          <w:kern w:val="0"/>
          <w:sz w:val="24"/>
        </w:rPr>
      </w:pPr>
      <w:r>
        <w:rPr>
          <w:rFonts w:hint="eastAsia" w:ascii="黑体" w:hAnsi="黑体" w:eastAsia="黑体" w:cs="宋体"/>
          <w:color w:val="auto"/>
          <w:spacing w:val="8"/>
          <w:kern w:val="0"/>
          <w:sz w:val="32"/>
          <w:szCs w:val="32"/>
        </w:rPr>
        <w:t>五、存在的主要问题及改进情况</w:t>
      </w:r>
    </w:p>
    <w:p>
      <w:pPr>
        <w:widowControl/>
        <w:spacing w:line="560" w:lineRule="exact"/>
        <w:ind w:firstLine="672" w:firstLineChars="200"/>
        <w:jc w:val="left"/>
        <w:rPr>
          <w:rFonts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eastAsia="zh-CN"/>
        </w:rPr>
        <w:t>政府信息</w:t>
      </w:r>
      <w:r>
        <w:rPr>
          <w:rFonts w:hint="eastAsia" w:ascii="仿宋_GB2312" w:hAnsi="宋体" w:eastAsia="仿宋_GB2312" w:cs="宋体"/>
          <w:color w:val="auto"/>
          <w:spacing w:val="8"/>
          <w:kern w:val="0"/>
          <w:sz w:val="32"/>
          <w:szCs w:val="32"/>
        </w:rPr>
        <w:t>公开工作为促进我局依法行政、建设法治政府发挥了重要作用，取得了明显成效，但是还存在</w:t>
      </w:r>
      <w:r>
        <w:rPr>
          <w:rFonts w:hint="eastAsia" w:ascii="仿宋_GB2312" w:hAnsi="宋体" w:eastAsia="仿宋_GB2312" w:cs="宋体"/>
          <w:color w:val="auto"/>
          <w:spacing w:val="8"/>
          <w:kern w:val="0"/>
          <w:sz w:val="32"/>
          <w:szCs w:val="32"/>
          <w:lang w:eastAsia="zh-CN"/>
        </w:rPr>
        <w:t>信息公开内容和方式不够丰富、官网</w:t>
      </w:r>
      <w:r>
        <w:rPr>
          <w:rFonts w:hint="eastAsia" w:ascii="仿宋_GB2312" w:hAnsi="宋体" w:eastAsia="仿宋_GB2312" w:cs="宋体"/>
          <w:color w:val="auto"/>
          <w:spacing w:val="8"/>
          <w:kern w:val="0"/>
          <w:sz w:val="32"/>
          <w:szCs w:val="32"/>
        </w:rPr>
        <w:t>个别栏目内容排序不严谨、信息更新不及时等问题。市药监局</w:t>
      </w:r>
      <w:r>
        <w:rPr>
          <w:rFonts w:hint="eastAsia" w:ascii="仿宋_GB2312" w:hAnsi="宋体" w:eastAsia="仿宋_GB2312" w:cs="宋体"/>
          <w:color w:val="auto"/>
          <w:spacing w:val="8"/>
          <w:kern w:val="0"/>
          <w:sz w:val="32"/>
          <w:szCs w:val="32"/>
          <w:lang w:val="en-US" w:eastAsia="zh-CN"/>
        </w:rPr>
        <w:t>督促指导所属各单位各部门高度重视政府信息公开工作，持续提升能力水平，充分发挥政府信息公开工作的窗口桥梁作用；拓展信息公开渠道，加大信息公开力度，开通“北京药监”抖音号，通过市局官网、微信公众号、抖音公众号等渠道，持续丰富充实公开内容和方式，及时、准确、全面公开群众普遍关心、涉及群众切身利益的政府信息；加强平台管理，完善公开载体，加强对官方网站日常维护管理，定期检查网站页面和各个栏目是否运行正常，信息是否及时更新，杜绝出现“死链”、“错链”，及时改进工作；通过“安全用药周”等科普宣传载体，加强前沿、焦点话题的引领和深度分析，</w:t>
      </w:r>
      <w:r>
        <w:rPr>
          <w:rFonts w:hint="eastAsia" w:ascii="仿宋_GB2312" w:hAnsi="宋体" w:eastAsia="仿宋_GB2312" w:cs="宋体"/>
          <w:color w:val="auto"/>
          <w:spacing w:val="8"/>
          <w:kern w:val="0"/>
          <w:sz w:val="32"/>
          <w:szCs w:val="32"/>
        </w:rPr>
        <w:t>丰富</w:t>
      </w:r>
      <w:r>
        <w:rPr>
          <w:rFonts w:hint="eastAsia" w:ascii="仿宋_GB2312" w:hAnsi="宋体" w:eastAsia="仿宋_GB2312" w:cs="宋体"/>
          <w:color w:val="auto"/>
          <w:spacing w:val="8"/>
          <w:kern w:val="0"/>
          <w:sz w:val="32"/>
          <w:szCs w:val="32"/>
          <w:lang w:eastAsia="zh-CN"/>
        </w:rPr>
        <w:t>信息公开</w:t>
      </w:r>
      <w:r>
        <w:rPr>
          <w:rFonts w:hint="eastAsia" w:ascii="仿宋_GB2312" w:hAnsi="宋体" w:eastAsia="仿宋_GB2312" w:cs="宋体"/>
          <w:color w:val="auto"/>
          <w:spacing w:val="8"/>
          <w:kern w:val="0"/>
          <w:sz w:val="32"/>
          <w:szCs w:val="32"/>
        </w:rPr>
        <w:t>形式和内容，</w:t>
      </w:r>
      <w:r>
        <w:rPr>
          <w:rFonts w:hint="eastAsia" w:ascii="仿宋_GB2312" w:hAnsi="宋体" w:eastAsia="仿宋_GB2312" w:cs="宋体"/>
          <w:color w:val="auto"/>
          <w:spacing w:val="8"/>
          <w:kern w:val="0"/>
          <w:sz w:val="32"/>
          <w:szCs w:val="32"/>
          <w:lang w:val="en-US" w:eastAsia="zh-CN"/>
        </w:rPr>
        <w:t>引导社会共治。</w:t>
      </w:r>
    </w:p>
    <w:p>
      <w:pPr>
        <w:widowControl/>
        <w:spacing w:line="560" w:lineRule="exact"/>
        <w:ind w:firstLine="675"/>
        <w:jc w:val="left"/>
        <w:rPr>
          <w:rFonts w:ascii="宋体" w:hAnsi="宋体" w:cs="宋体"/>
          <w:color w:val="auto"/>
          <w:spacing w:val="8"/>
          <w:kern w:val="0"/>
          <w:sz w:val="32"/>
          <w:szCs w:val="32"/>
        </w:rPr>
      </w:pPr>
      <w:r>
        <w:rPr>
          <w:rFonts w:hint="eastAsia" w:ascii="黑体" w:hAnsi="黑体" w:eastAsia="黑体" w:cs="宋体"/>
          <w:color w:val="auto"/>
          <w:spacing w:val="8"/>
          <w:kern w:val="0"/>
          <w:sz w:val="32"/>
          <w:szCs w:val="32"/>
        </w:rPr>
        <w:t>六、其他需要报告的事项</w:t>
      </w:r>
    </w:p>
    <w:p>
      <w:pPr>
        <w:widowControl/>
        <w:spacing w:line="560" w:lineRule="exact"/>
        <w:ind w:firstLine="672"/>
        <w:jc w:val="left"/>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政府信息公开信息处理费方面，市药监局发出收费通知的件数和总金额以及实际收取的总金额均为零。</w:t>
      </w:r>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863787"/>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8E"/>
    <w:rsid w:val="0000632B"/>
    <w:rsid w:val="00012B63"/>
    <w:rsid w:val="0002268F"/>
    <w:rsid w:val="000235DB"/>
    <w:rsid w:val="000404DC"/>
    <w:rsid w:val="00040D8D"/>
    <w:rsid w:val="0004279C"/>
    <w:rsid w:val="000440DB"/>
    <w:rsid w:val="000462E6"/>
    <w:rsid w:val="0006026E"/>
    <w:rsid w:val="00080460"/>
    <w:rsid w:val="00081041"/>
    <w:rsid w:val="000824C7"/>
    <w:rsid w:val="0008386A"/>
    <w:rsid w:val="00086055"/>
    <w:rsid w:val="0008650B"/>
    <w:rsid w:val="0008686D"/>
    <w:rsid w:val="00093C35"/>
    <w:rsid w:val="000953AA"/>
    <w:rsid w:val="000A2918"/>
    <w:rsid w:val="000B018D"/>
    <w:rsid w:val="000B1AEE"/>
    <w:rsid w:val="000B269F"/>
    <w:rsid w:val="000C28DD"/>
    <w:rsid w:val="000C3E83"/>
    <w:rsid w:val="000D2C57"/>
    <w:rsid w:val="000D496E"/>
    <w:rsid w:val="000D5237"/>
    <w:rsid w:val="000D6507"/>
    <w:rsid w:val="000D79D6"/>
    <w:rsid w:val="000E0DA0"/>
    <w:rsid w:val="000E1C51"/>
    <w:rsid w:val="000E37A7"/>
    <w:rsid w:val="000E3EE6"/>
    <w:rsid w:val="000E55FA"/>
    <w:rsid w:val="000F5826"/>
    <w:rsid w:val="00104298"/>
    <w:rsid w:val="00110C05"/>
    <w:rsid w:val="00111BCA"/>
    <w:rsid w:val="0012071A"/>
    <w:rsid w:val="001227FD"/>
    <w:rsid w:val="001272BF"/>
    <w:rsid w:val="001315F8"/>
    <w:rsid w:val="00132497"/>
    <w:rsid w:val="0013630B"/>
    <w:rsid w:val="00140BE4"/>
    <w:rsid w:val="00153831"/>
    <w:rsid w:val="00163C9D"/>
    <w:rsid w:val="001657C1"/>
    <w:rsid w:val="00170B70"/>
    <w:rsid w:val="00170D71"/>
    <w:rsid w:val="00172F3C"/>
    <w:rsid w:val="001952F0"/>
    <w:rsid w:val="00196C99"/>
    <w:rsid w:val="00197B38"/>
    <w:rsid w:val="001A22C2"/>
    <w:rsid w:val="001A7CE2"/>
    <w:rsid w:val="001B6990"/>
    <w:rsid w:val="001C5C4B"/>
    <w:rsid w:val="001D1EFD"/>
    <w:rsid w:val="001D5211"/>
    <w:rsid w:val="001D7F56"/>
    <w:rsid w:val="001E2013"/>
    <w:rsid w:val="001E3EDB"/>
    <w:rsid w:val="001E4287"/>
    <w:rsid w:val="001E64D5"/>
    <w:rsid w:val="001F309E"/>
    <w:rsid w:val="001F45CC"/>
    <w:rsid w:val="001F4B03"/>
    <w:rsid w:val="00214919"/>
    <w:rsid w:val="00216FEB"/>
    <w:rsid w:val="00222E3E"/>
    <w:rsid w:val="00227CB7"/>
    <w:rsid w:val="002329B0"/>
    <w:rsid w:val="0024023B"/>
    <w:rsid w:val="002429FB"/>
    <w:rsid w:val="0025214A"/>
    <w:rsid w:val="00253285"/>
    <w:rsid w:val="00260EBF"/>
    <w:rsid w:val="0026626D"/>
    <w:rsid w:val="0026776B"/>
    <w:rsid w:val="00270702"/>
    <w:rsid w:val="00271E2F"/>
    <w:rsid w:val="00272225"/>
    <w:rsid w:val="00273D0D"/>
    <w:rsid w:val="00273FFB"/>
    <w:rsid w:val="00276DE4"/>
    <w:rsid w:val="00277F7A"/>
    <w:rsid w:val="002809EE"/>
    <w:rsid w:val="002835CC"/>
    <w:rsid w:val="002962C2"/>
    <w:rsid w:val="002962E1"/>
    <w:rsid w:val="00296A00"/>
    <w:rsid w:val="002A079A"/>
    <w:rsid w:val="002A0E92"/>
    <w:rsid w:val="002A138F"/>
    <w:rsid w:val="002A7A9B"/>
    <w:rsid w:val="002C2B2B"/>
    <w:rsid w:val="002C5D20"/>
    <w:rsid w:val="002D3566"/>
    <w:rsid w:val="002D5533"/>
    <w:rsid w:val="002D7213"/>
    <w:rsid w:val="002E49A4"/>
    <w:rsid w:val="002E6C7F"/>
    <w:rsid w:val="002E7D9A"/>
    <w:rsid w:val="002E7E3C"/>
    <w:rsid w:val="002F0523"/>
    <w:rsid w:val="003027A6"/>
    <w:rsid w:val="00304932"/>
    <w:rsid w:val="00304DE1"/>
    <w:rsid w:val="003053E6"/>
    <w:rsid w:val="003102AC"/>
    <w:rsid w:val="003150E3"/>
    <w:rsid w:val="00316AE6"/>
    <w:rsid w:val="00321C93"/>
    <w:rsid w:val="00324564"/>
    <w:rsid w:val="00326356"/>
    <w:rsid w:val="00334BE2"/>
    <w:rsid w:val="003359FD"/>
    <w:rsid w:val="00343268"/>
    <w:rsid w:val="003468B2"/>
    <w:rsid w:val="00350EBD"/>
    <w:rsid w:val="0035639C"/>
    <w:rsid w:val="003566FB"/>
    <w:rsid w:val="00361BCB"/>
    <w:rsid w:val="00362C46"/>
    <w:rsid w:val="0037033D"/>
    <w:rsid w:val="00370D4E"/>
    <w:rsid w:val="00371181"/>
    <w:rsid w:val="0037408E"/>
    <w:rsid w:val="00381304"/>
    <w:rsid w:val="00386A6C"/>
    <w:rsid w:val="00395A30"/>
    <w:rsid w:val="003B015F"/>
    <w:rsid w:val="003B19FF"/>
    <w:rsid w:val="003B2E5E"/>
    <w:rsid w:val="003B5E19"/>
    <w:rsid w:val="003B615A"/>
    <w:rsid w:val="003B6548"/>
    <w:rsid w:val="003C026D"/>
    <w:rsid w:val="003C3BCF"/>
    <w:rsid w:val="003C72BA"/>
    <w:rsid w:val="003E0F40"/>
    <w:rsid w:val="003E20E5"/>
    <w:rsid w:val="003E64C0"/>
    <w:rsid w:val="004015AC"/>
    <w:rsid w:val="0040303A"/>
    <w:rsid w:val="00403C16"/>
    <w:rsid w:val="004058F3"/>
    <w:rsid w:val="00410CB4"/>
    <w:rsid w:val="00415474"/>
    <w:rsid w:val="00415C9C"/>
    <w:rsid w:val="00420199"/>
    <w:rsid w:val="004249AE"/>
    <w:rsid w:val="00430477"/>
    <w:rsid w:val="00430FAB"/>
    <w:rsid w:val="00441465"/>
    <w:rsid w:val="00441B7F"/>
    <w:rsid w:val="00446362"/>
    <w:rsid w:val="0045146A"/>
    <w:rsid w:val="00454A8A"/>
    <w:rsid w:val="00455A82"/>
    <w:rsid w:val="00462412"/>
    <w:rsid w:val="004665D1"/>
    <w:rsid w:val="00472A30"/>
    <w:rsid w:val="004734C1"/>
    <w:rsid w:val="004878F9"/>
    <w:rsid w:val="004906A5"/>
    <w:rsid w:val="00496937"/>
    <w:rsid w:val="00496CDE"/>
    <w:rsid w:val="0049722B"/>
    <w:rsid w:val="004A0713"/>
    <w:rsid w:val="004B1F44"/>
    <w:rsid w:val="004B6C27"/>
    <w:rsid w:val="004C24A2"/>
    <w:rsid w:val="004C3E30"/>
    <w:rsid w:val="004C4C15"/>
    <w:rsid w:val="004C7301"/>
    <w:rsid w:val="004D04CD"/>
    <w:rsid w:val="004D335A"/>
    <w:rsid w:val="004E6F2D"/>
    <w:rsid w:val="004F3648"/>
    <w:rsid w:val="004F747C"/>
    <w:rsid w:val="00501D36"/>
    <w:rsid w:val="00502E19"/>
    <w:rsid w:val="00504905"/>
    <w:rsid w:val="005154F0"/>
    <w:rsid w:val="0051567D"/>
    <w:rsid w:val="00521AE7"/>
    <w:rsid w:val="00522383"/>
    <w:rsid w:val="0053063F"/>
    <w:rsid w:val="00542D2E"/>
    <w:rsid w:val="00543E12"/>
    <w:rsid w:val="00555151"/>
    <w:rsid w:val="005636BB"/>
    <w:rsid w:val="00565A6E"/>
    <w:rsid w:val="00567441"/>
    <w:rsid w:val="005709E5"/>
    <w:rsid w:val="0057358E"/>
    <w:rsid w:val="0057631F"/>
    <w:rsid w:val="00576CC5"/>
    <w:rsid w:val="00581DD7"/>
    <w:rsid w:val="00582C75"/>
    <w:rsid w:val="005831EE"/>
    <w:rsid w:val="005874D6"/>
    <w:rsid w:val="005904B9"/>
    <w:rsid w:val="0059476B"/>
    <w:rsid w:val="005A0956"/>
    <w:rsid w:val="005B4241"/>
    <w:rsid w:val="005D6832"/>
    <w:rsid w:val="005E2BFF"/>
    <w:rsid w:val="00602704"/>
    <w:rsid w:val="00604145"/>
    <w:rsid w:val="006072FA"/>
    <w:rsid w:val="0062333A"/>
    <w:rsid w:val="006334CD"/>
    <w:rsid w:val="006458D7"/>
    <w:rsid w:val="00653F4E"/>
    <w:rsid w:val="00662D6F"/>
    <w:rsid w:val="0066548E"/>
    <w:rsid w:val="00667319"/>
    <w:rsid w:val="00671DF2"/>
    <w:rsid w:val="00672678"/>
    <w:rsid w:val="00673E45"/>
    <w:rsid w:val="00675442"/>
    <w:rsid w:val="00676D1A"/>
    <w:rsid w:val="00677F53"/>
    <w:rsid w:val="00680F5C"/>
    <w:rsid w:val="006827FD"/>
    <w:rsid w:val="0068660C"/>
    <w:rsid w:val="006876D2"/>
    <w:rsid w:val="00687703"/>
    <w:rsid w:val="00692E49"/>
    <w:rsid w:val="006A3271"/>
    <w:rsid w:val="006A38C2"/>
    <w:rsid w:val="006B25F6"/>
    <w:rsid w:val="006B4BBB"/>
    <w:rsid w:val="006B6671"/>
    <w:rsid w:val="006B73BB"/>
    <w:rsid w:val="006C1889"/>
    <w:rsid w:val="006C1B92"/>
    <w:rsid w:val="006C38D3"/>
    <w:rsid w:val="006E1E5B"/>
    <w:rsid w:val="006E4923"/>
    <w:rsid w:val="006E53D1"/>
    <w:rsid w:val="006E5DAB"/>
    <w:rsid w:val="006F153F"/>
    <w:rsid w:val="006F28B9"/>
    <w:rsid w:val="006F4961"/>
    <w:rsid w:val="00702A1F"/>
    <w:rsid w:val="00702ED2"/>
    <w:rsid w:val="00710850"/>
    <w:rsid w:val="00710D4C"/>
    <w:rsid w:val="00722DE2"/>
    <w:rsid w:val="00724D0B"/>
    <w:rsid w:val="00724F08"/>
    <w:rsid w:val="00740703"/>
    <w:rsid w:val="007419CF"/>
    <w:rsid w:val="0075100D"/>
    <w:rsid w:val="00754A3E"/>
    <w:rsid w:val="007610CD"/>
    <w:rsid w:val="0076244C"/>
    <w:rsid w:val="00764985"/>
    <w:rsid w:val="007715CF"/>
    <w:rsid w:val="00773F61"/>
    <w:rsid w:val="00783483"/>
    <w:rsid w:val="00784BF5"/>
    <w:rsid w:val="0078653A"/>
    <w:rsid w:val="007A452B"/>
    <w:rsid w:val="007B4D34"/>
    <w:rsid w:val="007B7149"/>
    <w:rsid w:val="007C3552"/>
    <w:rsid w:val="007D0C4F"/>
    <w:rsid w:val="007D42EF"/>
    <w:rsid w:val="007E21B4"/>
    <w:rsid w:val="007E2F5B"/>
    <w:rsid w:val="007E32AE"/>
    <w:rsid w:val="007E4120"/>
    <w:rsid w:val="007F0544"/>
    <w:rsid w:val="007F3BC5"/>
    <w:rsid w:val="007F4D64"/>
    <w:rsid w:val="00802B1E"/>
    <w:rsid w:val="0081603F"/>
    <w:rsid w:val="008219DE"/>
    <w:rsid w:val="00823B78"/>
    <w:rsid w:val="008249BE"/>
    <w:rsid w:val="008256F6"/>
    <w:rsid w:val="00827D98"/>
    <w:rsid w:val="00837E7B"/>
    <w:rsid w:val="0084217C"/>
    <w:rsid w:val="008430F3"/>
    <w:rsid w:val="00845513"/>
    <w:rsid w:val="00850249"/>
    <w:rsid w:val="00855950"/>
    <w:rsid w:val="00856D14"/>
    <w:rsid w:val="008621D3"/>
    <w:rsid w:val="0086368C"/>
    <w:rsid w:val="00870CD6"/>
    <w:rsid w:val="00876F93"/>
    <w:rsid w:val="008816AE"/>
    <w:rsid w:val="00882741"/>
    <w:rsid w:val="00884BBC"/>
    <w:rsid w:val="00886197"/>
    <w:rsid w:val="00886E2C"/>
    <w:rsid w:val="008877FE"/>
    <w:rsid w:val="008922DD"/>
    <w:rsid w:val="008949F3"/>
    <w:rsid w:val="008A0020"/>
    <w:rsid w:val="008A1264"/>
    <w:rsid w:val="008A2D16"/>
    <w:rsid w:val="008B5F83"/>
    <w:rsid w:val="008C1372"/>
    <w:rsid w:val="008C5B9B"/>
    <w:rsid w:val="008C74FD"/>
    <w:rsid w:val="008D01B4"/>
    <w:rsid w:val="008D0A40"/>
    <w:rsid w:val="008D3B74"/>
    <w:rsid w:val="008D6E84"/>
    <w:rsid w:val="008F076D"/>
    <w:rsid w:val="00901D3A"/>
    <w:rsid w:val="00905D00"/>
    <w:rsid w:val="00935939"/>
    <w:rsid w:val="00941389"/>
    <w:rsid w:val="00941897"/>
    <w:rsid w:val="00943800"/>
    <w:rsid w:val="00946727"/>
    <w:rsid w:val="009470E8"/>
    <w:rsid w:val="0095057B"/>
    <w:rsid w:val="009505E9"/>
    <w:rsid w:val="00950A1C"/>
    <w:rsid w:val="009535E7"/>
    <w:rsid w:val="00953806"/>
    <w:rsid w:val="0096111D"/>
    <w:rsid w:val="009664C7"/>
    <w:rsid w:val="009704FE"/>
    <w:rsid w:val="009711E6"/>
    <w:rsid w:val="00971C69"/>
    <w:rsid w:val="00972E94"/>
    <w:rsid w:val="009749E3"/>
    <w:rsid w:val="00977353"/>
    <w:rsid w:val="00983F8E"/>
    <w:rsid w:val="00987D26"/>
    <w:rsid w:val="00995975"/>
    <w:rsid w:val="009B3E23"/>
    <w:rsid w:val="009C616F"/>
    <w:rsid w:val="009D349F"/>
    <w:rsid w:val="009E1A5E"/>
    <w:rsid w:val="009E70F8"/>
    <w:rsid w:val="009F3C34"/>
    <w:rsid w:val="00A022F5"/>
    <w:rsid w:val="00A128AD"/>
    <w:rsid w:val="00A17505"/>
    <w:rsid w:val="00A21C19"/>
    <w:rsid w:val="00A23E91"/>
    <w:rsid w:val="00A25AA4"/>
    <w:rsid w:val="00A266FC"/>
    <w:rsid w:val="00A31099"/>
    <w:rsid w:val="00A31588"/>
    <w:rsid w:val="00A36AED"/>
    <w:rsid w:val="00A408DA"/>
    <w:rsid w:val="00A43048"/>
    <w:rsid w:val="00A440E1"/>
    <w:rsid w:val="00A525F9"/>
    <w:rsid w:val="00A563A9"/>
    <w:rsid w:val="00A5645B"/>
    <w:rsid w:val="00A56728"/>
    <w:rsid w:val="00A56AAF"/>
    <w:rsid w:val="00A60764"/>
    <w:rsid w:val="00A611C0"/>
    <w:rsid w:val="00A63C49"/>
    <w:rsid w:val="00A6441E"/>
    <w:rsid w:val="00A730CC"/>
    <w:rsid w:val="00A76861"/>
    <w:rsid w:val="00A83BE1"/>
    <w:rsid w:val="00A90784"/>
    <w:rsid w:val="00AA1310"/>
    <w:rsid w:val="00AA2271"/>
    <w:rsid w:val="00AA2562"/>
    <w:rsid w:val="00AA39A3"/>
    <w:rsid w:val="00AA5440"/>
    <w:rsid w:val="00AB0DD1"/>
    <w:rsid w:val="00AB3252"/>
    <w:rsid w:val="00AB6EE0"/>
    <w:rsid w:val="00AC4407"/>
    <w:rsid w:val="00AD4298"/>
    <w:rsid w:val="00AE7242"/>
    <w:rsid w:val="00B041C0"/>
    <w:rsid w:val="00B063B5"/>
    <w:rsid w:val="00B12D50"/>
    <w:rsid w:val="00B14DD8"/>
    <w:rsid w:val="00B20DAB"/>
    <w:rsid w:val="00B270AC"/>
    <w:rsid w:val="00B32E0D"/>
    <w:rsid w:val="00B370DB"/>
    <w:rsid w:val="00B41A77"/>
    <w:rsid w:val="00B44A39"/>
    <w:rsid w:val="00B5052A"/>
    <w:rsid w:val="00B54205"/>
    <w:rsid w:val="00B56C10"/>
    <w:rsid w:val="00B6137F"/>
    <w:rsid w:val="00B6204F"/>
    <w:rsid w:val="00B65AA7"/>
    <w:rsid w:val="00B66EF4"/>
    <w:rsid w:val="00B7154C"/>
    <w:rsid w:val="00B83A4B"/>
    <w:rsid w:val="00B85426"/>
    <w:rsid w:val="00B93500"/>
    <w:rsid w:val="00B93958"/>
    <w:rsid w:val="00B95323"/>
    <w:rsid w:val="00BA18C1"/>
    <w:rsid w:val="00BA50DA"/>
    <w:rsid w:val="00BA6BC2"/>
    <w:rsid w:val="00BB0590"/>
    <w:rsid w:val="00BB29B2"/>
    <w:rsid w:val="00BD26E5"/>
    <w:rsid w:val="00BE59ED"/>
    <w:rsid w:val="00BE718C"/>
    <w:rsid w:val="00BE7213"/>
    <w:rsid w:val="00BF4399"/>
    <w:rsid w:val="00C01C85"/>
    <w:rsid w:val="00C02746"/>
    <w:rsid w:val="00C07F4B"/>
    <w:rsid w:val="00C10F81"/>
    <w:rsid w:val="00C2178A"/>
    <w:rsid w:val="00C21E38"/>
    <w:rsid w:val="00C23F63"/>
    <w:rsid w:val="00C2512C"/>
    <w:rsid w:val="00C324AF"/>
    <w:rsid w:val="00C35BAD"/>
    <w:rsid w:val="00C37348"/>
    <w:rsid w:val="00C4079E"/>
    <w:rsid w:val="00C46463"/>
    <w:rsid w:val="00C467EF"/>
    <w:rsid w:val="00C50F65"/>
    <w:rsid w:val="00C51C63"/>
    <w:rsid w:val="00C53082"/>
    <w:rsid w:val="00C53CD5"/>
    <w:rsid w:val="00C56807"/>
    <w:rsid w:val="00C607F7"/>
    <w:rsid w:val="00C61190"/>
    <w:rsid w:val="00C64603"/>
    <w:rsid w:val="00C66CB9"/>
    <w:rsid w:val="00C71D0B"/>
    <w:rsid w:val="00C72A75"/>
    <w:rsid w:val="00C73274"/>
    <w:rsid w:val="00C779A2"/>
    <w:rsid w:val="00C810B9"/>
    <w:rsid w:val="00C83F29"/>
    <w:rsid w:val="00C84728"/>
    <w:rsid w:val="00C862F1"/>
    <w:rsid w:val="00C957D2"/>
    <w:rsid w:val="00C96FEA"/>
    <w:rsid w:val="00CB111A"/>
    <w:rsid w:val="00CB6896"/>
    <w:rsid w:val="00CC0833"/>
    <w:rsid w:val="00CC340F"/>
    <w:rsid w:val="00CC7774"/>
    <w:rsid w:val="00CD53A0"/>
    <w:rsid w:val="00CD70CC"/>
    <w:rsid w:val="00CD764C"/>
    <w:rsid w:val="00CE183A"/>
    <w:rsid w:val="00CF2413"/>
    <w:rsid w:val="00CF4596"/>
    <w:rsid w:val="00CF64B9"/>
    <w:rsid w:val="00CF723E"/>
    <w:rsid w:val="00CF7406"/>
    <w:rsid w:val="00D01275"/>
    <w:rsid w:val="00D0637A"/>
    <w:rsid w:val="00D06E67"/>
    <w:rsid w:val="00D07738"/>
    <w:rsid w:val="00D12049"/>
    <w:rsid w:val="00D12475"/>
    <w:rsid w:val="00D16DE8"/>
    <w:rsid w:val="00D175B1"/>
    <w:rsid w:val="00D1762E"/>
    <w:rsid w:val="00D20401"/>
    <w:rsid w:val="00D2099A"/>
    <w:rsid w:val="00D2147F"/>
    <w:rsid w:val="00D2560C"/>
    <w:rsid w:val="00D275DE"/>
    <w:rsid w:val="00D3215A"/>
    <w:rsid w:val="00D44DF9"/>
    <w:rsid w:val="00D46183"/>
    <w:rsid w:val="00D5100F"/>
    <w:rsid w:val="00D56182"/>
    <w:rsid w:val="00D62283"/>
    <w:rsid w:val="00D635B4"/>
    <w:rsid w:val="00D676D6"/>
    <w:rsid w:val="00D71E07"/>
    <w:rsid w:val="00D740F2"/>
    <w:rsid w:val="00D76ED3"/>
    <w:rsid w:val="00D7744D"/>
    <w:rsid w:val="00D82CC0"/>
    <w:rsid w:val="00D86A91"/>
    <w:rsid w:val="00D9033C"/>
    <w:rsid w:val="00D918E2"/>
    <w:rsid w:val="00D9557E"/>
    <w:rsid w:val="00D974DB"/>
    <w:rsid w:val="00DA09BB"/>
    <w:rsid w:val="00DB5E9A"/>
    <w:rsid w:val="00DB6468"/>
    <w:rsid w:val="00DB7FF6"/>
    <w:rsid w:val="00DC331B"/>
    <w:rsid w:val="00DC52A6"/>
    <w:rsid w:val="00DD0C9B"/>
    <w:rsid w:val="00DD17D9"/>
    <w:rsid w:val="00DD451E"/>
    <w:rsid w:val="00DD6D2D"/>
    <w:rsid w:val="00DD7A9B"/>
    <w:rsid w:val="00DF4CC4"/>
    <w:rsid w:val="00DF7027"/>
    <w:rsid w:val="00E032CD"/>
    <w:rsid w:val="00E03BF3"/>
    <w:rsid w:val="00E044E4"/>
    <w:rsid w:val="00E10C57"/>
    <w:rsid w:val="00E1702D"/>
    <w:rsid w:val="00E37F60"/>
    <w:rsid w:val="00E41938"/>
    <w:rsid w:val="00E479F0"/>
    <w:rsid w:val="00E506BA"/>
    <w:rsid w:val="00E52A6D"/>
    <w:rsid w:val="00E600C0"/>
    <w:rsid w:val="00E6331E"/>
    <w:rsid w:val="00E64C35"/>
    <w:rsid w:val="00E71C56"/>
    <w:rsid w:val="00E77970"/>
    <w:rsid w:val="00E81CBC"/>
    <w:rsid w:val="00E843F1"/>
    <w:rsid w:val="00E84579"/>
    <w:rsid w:val="00E85792"/>
    <w:rsid w:val="00E85F11"/>
    <w:rsid w:val="00E96059"/>
    <w:rsid w:val="00EA15AB"/>
    <w:rsid w:val="00EA26A8"/>
    <w:rsid w:val="00EA5B20"/>
    <w:rsid w:val="00EA6799"/>
    <w:rsid w:val="00EB3C01"/>
    <w:rsid w:val="00EB68BA"/>
    <w:rsid w:val="00EC1F2C"/>
    <w:rsid w:val="00EC2128"/>
    <w:rsid w:val="00EC6CE1"/>
    <w:rsid w:val="00EC742B"/>
    <w:rsid w:val="00ED382D"/>
    <w:rsid w:val="00ED582B"/>
    <w:rsid w:val="00EE692C"/>
    <w:rsid w:val="00EF287C"/>
    <w:rsid w:val="00EF585B"/>
    <w:rsid w:val="00EF5B98"/>
    <w:rsid w:val="00F017E2"/>
    <w:rsid w:val="00F023ED"/>
    <w:rsid w:val="00F03B0F"/>
    <w:rsid w:val="00F04E40"/>
    <w:rsid w:val="00F058B2"/>
    <w:rsid w:val="00F05DE1"/>
    <w:rsid w:val="00F1043A"/>
    <w:rsid w:val="00F12CE6"/>
    <w:rsid w:val="00F1627C"/>
    <w:rsid w:val="00F164BC"/>
    <w:rsid w:val="00F2374A"/>
    <w:rsid w:val="00F312BB"/>
    <w:rsid w:val="00F314F7"/>
    <w:rsid w:val="00F329CB"/>
    <w:rsid w:val="00F37DF2"/>
    <w:rsid w:val="00F666E2"/>
    <w:rsid w:val="00F71973"/>
    <w:rsid w:val="00F72258"/>
    <w:rsid w:val="00F74B37"/>
    <w:rsid w:val="00F75F85"/>
    <w:rsid w:val="00F80C6D"/>
    <w:rsid w:val="00F864C7"/>
    <w:rsid w:val="00F91DA2"/>
    <w:rsid w:val="00F91EA0"/>
    <w:rsid w:val="00F94CE4"/>
    <w:rsid w:val="00FA6A9A"/>
    <w:rsid w:val="00FA6D86"/>
    <w:rsid w:val="00FE6798"/>
    <w:rsid w:val="00FF25D5"/>
    <w:rsid w:val="00FF318E"/>
    <w:rsid w:val="00FF74F1"/>
    <w:rsid w:val="17FE0E50"/>
    <w:rsid w:val="5FFF5710"/>
    <w:rsid w:val="73F74E08"/>
    <w:rsid w:val="77FF350B"/>
    <w:rsid w:val="79999E83"/>
    <w:rsid w:val="7DFF2029"/>
    <w:rsid w:val="7FEEDC3E"/>
    <w:rsid w:val="9BFB71FB"/>
    <w:rsid w:val="A9EFCC8F"/>
    <w:rsid w:val="AFFD058E"/>
    <w:rsid w:val="BFFF036E"/>
    <w:rsid w:val="C5FA6D75"/>
    <w:rsid w:val="E9DB7B32"/>
    <w:rsid w:val="F2BF5F19"/>
    <w:rsid w:val="F37F5EB3"/>
    <w:rsid w:val="FAF77DC8"/>
    <w:rsid w:val="FB31FD3A"/>
    <w:rsid w:val="FFB7A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unhideWhenUsed/>
    <w:qFormat/>
    <w:uiPriority w:val="99"/>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2"/>
    <w:semiHidden/>
    <w:qFormat/>
    <w:uiPriority w:val="99"/>
    <w:rPr>
      <w:rFonts w:ascii="宋体" w:hAnsi="Courier New" w:eastAsia="宋体" w:cs="Courier New"/>
      <w:szCs w:val="21"/>
    </w:rPr>
  </w:style>
  <w:style w:type="character" w:customStyle="1" w:styleId="12">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439</Words>
  <Characters>2504</Characters>
  <Lines>20</Lines>
  <Paragraphs>5</Paragraphs>
  <TotalTime>5</TotalTime>
  <ScaleCrop>false</ScaleCrop>
  <LinksUpToDate>false</LinksUpToDate>
  <CharactersWithSpaces>2938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2021-12-18T18:59:00Z</dcterms:created>
  <dc:creator>chengaofeng</dc:creator>
  <cp:lastModifiedBy>陈高峰</cp:lastModifiedBy>
  <cp:lastPrinted>2022-01-21T10:17:00Z</cp:lastPrinted>
  <dcterms:modified xsi:type="dcterms:W3CDTF">2025-01-14T18:10:24Z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