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北京市药品监督管理局第五分局</w:t>
      </w:r>
    </w:p>
    <w:p>
      <w:pPr>
        <w:pStyle w:val="2"/>
        <w:jc w:val="center"/>
      </w:pPr>
    </w:p>
    <w:p>
      <w:pPr>
        <w:jc w:val="center"/>
        <w:rPr>
          <w:rFonts w:ascii="黑体" w:eastAsia="黑体"/>
          <w:sz w:val="52"/>
          <w:szCs w:val="52"/>
        </w:rPr>
      </w:pPr>
    </w:p>
    <w:p>
      <w:pPr>
        <w:jc w:val="both"/>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pStyle w:val="2"/>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根据《中共北京市委机构编制委员会办公室关于调整设置市市场监管局和市药监局直属机构等事项的通知》（京编办发〔2019〕61号）和《中共北京市药品监督管理局党组关于印发〈北京市药品监督管理局分局职能配置、内设机构和人员编制规定〉的通知》（京药监党组发〔2020〕33号），设立北京市药品监督管理局第五分局，为正处级行政单位，是北京市药品监督管理局直属分局。主要职责：负责顺义区（含北京天竺综合保税区）、平谷区、密云区药品、医疗器械和化妆品生产，以及药品批发、零售连锁总部，药品医疗器械网络交易服务第三方平台、化妆品电子商务平台经营者监管等工作。内设5个机构，分别为：办公室、药品生产监管科、医疗器械生产监管科、化妆品监管科、药械流通监管科。</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本单位无下属单位。</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行政编制20人，实有人数20人。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1272.08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减少27.36万元，下降2.11%。</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1247.48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减少13.63万元，下降1.08%。</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1247.48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1247.48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图1：收入决算</w:t>
      </w:r>
    </w:p>
    <w:p>
      <w:pPr>
        <w:pStyle w:val="2"/>
        <w:ind w:firstLine="420"/>
        <w:jc w:val="center"/>
      </w:pPr>
      <w:r>
        <w:rPr>
          <w:rFonts w:hint="eastAsia"/>
        </w:rPr>
        <w:object>
          <v:shape id="_x0000_i1025" o:spt="75" type="#_x0000_t75" style="height:196.5pt;width:348pt;" o:ole="t" filled="f" stroked="f" coordsize="21600,21600" o:gfxdata="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">
            <v:path/>
            <v:fill on="f" focussize="0,0"/>
            <v:stroke on="f"/>
            <v:imagedata r:id="rId8" o:title=""/>
            <o:lock v:ext="edit" aspectratio="t"/>
            <w10:wrap type="none"/>
            <w10:anchorlock/>
          </v:shape>
          <o:OLEObject Type="Embed" ProgID="excel.sheet.8" ShapeID="_x0000_i1025" DrawAspect="Content" ObjectID="_1468075725" r:id="rId7">
            <o:LockedField>false</o:LockedField>
          </o:OLEObject>
        </w:objec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1209.44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减少58.68万元，下降4.63%，其中：基本支出</w:t>
      </w:r>
      <w:r>
        <w:rPr>
          <w:rFonts w:ascii="仿宋_GB2312" w:eastAsia="仿宋_GB2312"/>
          <w:sz w:val="28"/>
          <w:szCs w:val="28"/>
        </w:rPr>
        <w:t>832.11</w:t>
      </w:r>
      <w:r>
        <w:rPr>
          <w:rFonts w:hint="eastAsia" w:ascii="仿宋_GB2312" w:eastAsia="仿宋_GB2312"/>
          <w:sz w:val="28"/>
          <w:szCs w:val="28"/>
        </w:rPr>
        <w:t>万元，占支出合计的</w:t>
      </w:r>
      <w:r>
        <w:rPr>
          <w:rFonts w:ascii="仿宋_GB2312" w:eastAsia="仿宋_GB2312"/>
          <w:sz w:val="28"/>
          <w:szCs w:val="28"/>
        </w:rPr>
        <w:t>68.8</w:t>
      </w:r>
      <w:r>
        <w:rPr>
          <w:rFonts w:hint="eastAsia" w:ascii="仿宋_GB2312" w:eastAsia="仿宋_GB2312"/>
          <w:sz w:val="28"/>
          <w:szCs w:val="28"/>
        </w:rPr>
        <w:t>0%；项目支出</w:t>
      </w:r>
      <w:r>
        <w:rPr>
          <w:rFonts w:ascii="仿宋_GB2312" w:eastAsia="仿宋_GB2312"/>
          <w:sz w:val="28"/>
          <w:szCs w:val="28"/>
        </w:rPr>
        <w:t>377.3</w:t>
      </w:r>
      <w:r>
        <w:rPr>
          <w:rFonts w:hint="eastAsia" w:ascii="仿宋_GB2312" w:eastAsia="仿宋_GB2312"/>
          <w:sz w:val="28"/>
          <w:szCs w:val="28"/>
        </w:rPr>
        <w:t>3万元，占支出合计的</w:t>
      </w:r>
      <w:r>
        <w:rPr>
          <w:rFonts w:ascii="仿宋_GB2312" w:eastAsia="仿宋_GB2312"/>
          <w:sz w:val="28"/>
          <w:szCs w:val="28"/>
        </w:rPr>
        <w:t>31.</w:t>
      </w:r>
      <w:r>
        <w:rPr>
          <w:rFonts w:hint="eastAsia" w:ascii="仿宋_GB2312" w:eastAsia="仿宋_GB2312"/>
          <w:sz w:val="28"/>
          <w:szCs w:val="28"/>
        </w:rPr>
        <w:t>20%；上缴上级支出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2" name="图表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1267.39</w:t>
      </w:r>
      <w:r>
        <w:rPr>
          <w:rFonts w:hint="eastAsia" w:ascii="仿宋_GB2312" w:eastAsia="仿宋_GB2312"/>
          <w:sz w:val="28"/>
          <w:szCs w:val="28"/>
        </w:rPr>
        <w:t>万元，比上年减少13.77万元，下降1.07%。主要原因：严格落实过“紧日子”要求，压减一般性支出。</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1204.76</w:t>
      </w:r>
      <w:r>
        <w:rPr>
          <w:rFonts w:hint="eastAsia" w:ascii="仿宋_GB2312" w:eastAsia="仿宋_GB2312"/>
          <w:sz w:val="28"/>
          <w:szCs w:val="28"/>
        </w:rPr>
        <w:t>万元，主要用于以下方面：一般公共服务支出1061.16万元，占本年财政拨款支出88.08%；</w:t>
      </w:r>
      <w:r>
        <w:rPr>
          <w:rFonts w:hint="eastAsia" w:ascii="仿宋_GB2312" w:hAnsi="Calibri" w:eastAsia="仿宋_GB2312" w:cs="Calibri"/>
          <w:sz w:val="28"/>
          <w:szCs w:val="28"/>
        </w:rPr>
        <w:t>教育支出10.18万元</w:t>
      </w:r>
      <w:r>
        <w:rPr>
          <w:rFonts w:hint="eastAsia" w:ascii="仿宋_GB2312" w:eastAsia="仿宋_GB2312"/>
          <w:sz w:val="28"/>
          <w:szCs w:val="28"/>
        </w:rPr>
        <w:t>，占本年财政拨款支出0.84%；社会保障和就业支出75.60万元，占本年财政拨款支出6.28%；卫生健康支出57.82万元，占本年财政拨款支出4.80%。</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1、“一般公共服务支出”2023年度决算1061.16万元，比2023年度年初预算增加149.97万元，增长16.46%。其中：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“市场监督管理事务”2023年度决算1061.16万元，比2023年度年初预算增加149.97万元，增长16.46%。主要原因：加大药品抽样工作投入。</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2、“教育支出”2023年度决算10.18万元，比2023年度年初预算减少10.08万元，减少49.75%。其中：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w:t>
      </w:r>
      <w:r>
        <w:rPr>
          <w:rFonts w:hint="eastAsia" w:ascii="仿宋_GB2312" w:hAnsi="Calibri" w:eastAsia="仿宋_GB2312" w:cs="Calibri"/>
          <w:sz w:val="28"/>
          <w:szCs w:val="28"/>
        </w:rPr>
        <w:t>进修及培训</w:t>
      </w:r>
      <w:r>
        <w:rPr>
          <w:rFonts w:hint="eastAsia" w:ascii="仿宋_GB2312" w:eastAsia="仿宋_GB2312"/>
          <w:sz w:val="28"/>
          <w:szCs w:val="28"/>
        </w:rPr>
        <w:t>”2023年度决算10.18万元，比2023年度年初预算减少10.08万元，减少49.75%。主要原因：严格落实过“紧日子”要求，压减培训支出。</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3“社会保障和就业支出”2023年度决算75.60万元，比2023年度年初预算增加8.25万元，增长12.25%。其中：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“行政事业单位养老支出”2023年度决算75.60万元，比2023年度年初预算增加8.25万元，增长12.25%。主要原因：落实机关事业单位养老保障政策，按规定缴纳养老保险及职业年金。</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4、“卫生健康支出”2023年度决算57.82万元，比2023年度年初预算增加1.65万元，增长2.</w:t>
      </w:r>
      <w:r>
        <w:rPr>
          <w:rFonts w:hint="eastAsia" w:ascii="仿宋_GB2312" w:eastAsia="仿宋_GB2312"/>
          <w:sz w:val="28"/>
          <w:szCs w:val="28"/>
          <w:lang w:val="en-US" w:eastAsia="zh-CN"/>
        </w:rPr>
        <w:t>94</w:t>
      </w:r>
      <w:r>
        <w:rPr>
          <w:rFonts w:hint="eastAsia" w:ascii="仿宋_GB2312" w:eastAsia="仿宋_GB2312"/>
          <w:sz w:val="28"/>
          <w:szCs w:val="28"/>
        </w:rPr>
        <w:t>%。其中：</w:t>
      </w:r>
    </w:p>
    <w:p>
      <w:pPr>
        <w:autoSpaceDE w:val="0"/>
        <w:autoSpaceDN w:val="0"/>
        <w:adjustRightInd w:val="0"/>
        <w:spacing w:line="580" w:lineRule="exact"/>
        <w:ind w:firstLine="560" w:firstLineChars="200"/>
        <w:jc w:val="left"/>
      </w:pPr>
      <w:r>
        <w:rPr>
          <w:rFonts w:hint="eastAsia" w:ascii="仿宋_GB2312" w:eastAsia="仿宋_GB2312"/>
          <w:sz w:val="28"/>
          <w:szCs w:val="28"/>
        </w:rPr>
        <w:t>“行政事业单位医疗”2023年度决算57.82万元，比2023年度年初预算增加1.65万元，增长2.</w:t>
      </w:r>
      <w:r>
        <w:rPr>
          <w:rFonts w:hint="eastAsia" w:ascii="仿宋_GB2312" w:eastAsia="仿宋_GB2312"/>
          <w:sz w:val="28"/>
          <w:szCs w:val="28"/>
          <w:lang w:val="en-US" w:eastAsia="zh-CN"/>
        </w:rPr>
        <w:t>94</w:t>
      </w:r>
      <w:r>
        <w:rPr>
          <w:rFonts w:hint="eastAsia" w:ascii="仿宋_GB2312" w:eastAsia="仿宋_GB2312"/>
          <w:sz w:val="28"/>
          <w:szCs w:val="28"/>
        </w:rPr>
        <w:t>%。主要原因：落实全市统一要求，缴纳职工基本医疗保险。</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黑体" w:eastAsia="黑体"/>
          <w:b/>
          <w:sz w:val="28"/>
          <w:szCs w:val="28"/>
        </w:rPr>
      </w:pPr>
      <w:r>
        <w:rPr>
          <w:rFonts w:hint="eastAsia" w:ascii="仿宋_GB2312" w:eastAsia="仿宋_GB2312"/>
          <w:sz w:val="28"/>
          <w:szCs w:val="28"/>
        </w:rPr>
        <w:t>本单位无此项支出。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本单位无此项支出。</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832.11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rPr>
        <w:t>1</w:t>
      </w:r>
      <w:r>
        <w:rPr>
          <w:rFonts w:hint="eastAsia" w:ascii="仿宋_GB2312" w:eastAsia="仿宋_GB2312"/>
          <w:sz w:val="28"/>
          <w:szCs w:val="28"/>
        </w:rPr>
        <w:t>个行政单位。2023年度“三公”经费财政拨款决算数</w:t>
      </w:r>
      <w:r>
        <w:rPr>
          <w:rFonts w:ascii="仿宋_GB2312" w:eastAsia="仿宋_GB2312"/>
          <w:sz w:val="28"/>
          <w:szCs w:val="28"/>
        </w:rPr>
        <w:t>24.46</w:t>
      </w:r>
      <w:r>
        <w:rPr>
          <w:rFonts w:hint="eastAsia" w:ascii="仿宋_GB2312" w:eastAsia="仿宋_GB2312"/>
          <w:sz w:val="28"/>
          <w:szCs w:val="28"/>
        </w:rPr>
        <w:t>万元，比2023年度“三公”经费财政拨款年初预算</w:t>
      </w:r>
      <w:r>
        <w:rPr>
          <w:rFonts w:ascii="仿宋_GB2312" w:eastAsia="仿宋_GB2312"/>
          <w:sz w:val="28"/>
          <w:szCs w:val="28"/>
        </w:rPr>
        <w:t>31.57</w:t>
      </w:r>
      <w:r>
        <w:rPr>
          <w:rFonts w:hint="eastAsia" w:ascii="仿宋_GB2312" w:eastAsia="仿宋_GB2312"/>
          <w:sz w:val="28"/>
          <w:szCs w:val="28"/>
        </w:rPr>
        <w:t>万元减少</w:t>
      </w:r>
      <w:r>
        <w:rPr>
          <w:rFonts w:ascii="仿宋_GB2312" w:eastAsia="仿宋_GB2312"/>
          <w:sz w:val="28"/>
          <w:szCs w:val="28"/>
        </w:rPr>
        <w:t>7.11</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0</w:t>
      </w:r>
      <w:r>
        <w:rPr>
          <w:rFonts w:hint="eastAsia" w:ascii="仿宋_GB2312" w:eastAsia="仿宋_GB2312"/>
          <w:sz w:val="28"/>
          <w:szCs w:val="28"/>
        </w:rPr>
        <w:t>.00万元，与2023年度年初预算数</w:t>
      </w:r>
      <w:r>
        <w:rPr>
          <w:rFonts w:ascii="仿宋_GB2312" w:eastAsia="仿宋_GB2312"/>
          <w:sz w:val="28"/>
          <w:szCs w:val="28"/>
        </w:rPr>
        <w:t>0</w:t>
      </w:r>
      <w:r>
        <w:rPr>
          <w:rFonts w:hint="eastAsia" w:ascii="仿宋_GB2312" w:eastAsia="仿宋_GB2312"/>
          <w:sz w:val="28"/>
          <w:szCs w:val="28"/>
        </w:rPr>
        <w:t>.00万元持平。主要原因：全年未</w:t>
      </w:r>
      <w:r>
        <w:rPr>
          <w:rFonts w:hint="eastAsia" w:ascii="仿宋_GB2312" w:eastAsia="仿宋_GB2312"/>
          <w:sz w:val="28"/>
          <w:szCs w:val="28"/>
          <w:lang w:val="en"/>
        </w:rPr>
        <w:t>安</w:t>
      </w:r>
      <w:r>
        <w:rPr>
          <w:rFonts w:hint="eastAsia" w:ascii="仿宋_GB2312" w:eastAsia="仿宋_GB2312"/>
          <w:sz w:val="28"/>
          <w:szCs w:val="28"/>
        </w:rPr>
        <w:t>排因公出国（境）任务；2023年度因公出国（境）费用无支出。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w:t>
      </w:r>
      <w:r>
        <w:rPr>
          <w:rFonts w:hint="eastAsia" w:ascii="仿宋_GB2312" w:eastAsia="仿宋_GB2312"/>
          <w:sz w:val="28"/>
          <w:szCs w:val="28"/>
        </w:rPr>
        <w:t>.00万元，与2023年度年初预算数</w:t>
      </w:r>
      <w:r>
        <w:rPr>
          <w:rFonts w:ascii="仿宋_GB2312" w:eastAsia="仿宋_GB2312"/>
          <w:sz w:val="28"/>
          <w:szCs w:val="28"/>
        </w:rPr>
        <w:t>0</w:t>
      </w:r>
      <w:r>
        <w:rPr>
          <w:rFonts w:hint="eastAsia" w:ascii="仿宋_GB2312" w:eastAsia="仿宋_GB2312"/>
          <w:sz w:val="28"/>
          <w:szCs w:val="28"/>
        </w:rPr>
        <w:t>.00万元持平。主要原因：贯彻落实中央八项规定，严格控制公务接待支出。2023年度公务接待费无支出。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3.公务用车购置及运行维护费。2023年度决算数24.46万元，比2023年度年初预算数</w:t>
      </w:r>
      <w:r>
        <w:rPr>
          <w:rFonts w:ascii="仿宋_GB2312" w:eastAsia="仿宋_GB2312"/>
          <w:sz w:val="28"/>
          <w:szCs w:val="28"/>
        </w:rPr>
        <w:t>31.57</w:t>
      </w:r>
      <w:r>
        <w:rPr>
          <w:rFonts w:hint="eastAsia" w:ascii="仿宋_GB2312" w:eastAsia="仿宋_GB2312"/>
          <w:sz w:val="28"/>
          <w:szCs w:val="28"/>
        </w:rPr>
        <w:t>万元减少</w:t>
      </w:r>
      <w:r>
        <w:rPr>
          <w:rFonts w:ascii="仿宋_GB2312" w:eastAsia="仿宋_GB2312"/>
          <w:sz w:val="28"/>
          <w:szCs w:val="28"/>
        </w:rPr>
        <w:t>7.11</w:t>
      </w:r>
      <w:r>
        <w:rPr>
          <w:rFonts w:hint="eastAsia" w:ascii="仿宋_GB2312" w:eastAsia="仿宋_GB2312"/>
          <w:sz w:val="28"/>
          <w:szCs w:val="28"/>
        </w:rPr>
        <w:t>万元。</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万元，与2023年度年初预算数</w:t>
      </w:r>
      <w:r>
        <w:rPr>
          <w:rFonts w:ascii="仿宋_GB2312" w:eastAsia="仿宋_GB2312"/>
          <w:sz w:val="28"/>
          <w:szCs w:val="28"/>
        </w:rPr>
        <w:t>0</w:t>
      </w:r>
      <w:r>
        <w:rPr>
          <w:rFonts w:hint="eastAsia" w:ascii="仿宋_GB2312" w:eastAsia="仿宋_GB2312"/>
          <w:sz w:val="28"/>
          <w:szCs w:val="28"/>
        </w:rPr>
        <w:t>万元持平。主要原因：2023年本单位无公务车辆购置（更新）计划，2023年度购置（更新）0辆，车均购置费0万元。公务用车运行维护费2023年度决算数</w:t>
      </w:r>
      <w:r>
        <w:rPr>
          <w:rFonts w:ascii="仿宋_GB2312" w:eastAsia="仿宋_GB2312"/>
          <w:sz w:val="28"/>
          <w:szCs w:val="28"/>
        </w:rPr>
        <w:t>24.46</w:t>
      </w:r>
      <w:r>
        <w:rPr>
          <w:rFonts w:hint="eastAsia" w:ascii="仿宋_GB2312" w:eastAsia="仿宋_GB2312"/>
          <w:sz w:val="28"/>
          <w:szCs w:val="28"/>
        </w:rPr>
        <w:t>万元，比2023年度年初预算数</w:t>
      </w:r>
      <w:r>
        <w:rPr>
          <w:rFonts w:ascii="仿宋_GB2312" w:eastAsia="仿宋_GB2312"/>
          <w:sz w:val="28"/>
          <w:szCs w:val="28"/>
        </w:rPr>
        <w:t>31.57</w:t>
      </w:r>
      <w:r>
        <w:rPr>
          <w:rFonts w:hint="eastAsia" w:ascii="仿宋_GB2312" w:eastAsia="仿宋_GB2312"/>
          <w:sz w:val="28"/>
          <w:szCs w:val="28"/>
        </w:rPr>
        <w:t>万元减少7.11万元，主要原因：加强公务用车管理，进一步规范车辆运行维护支出。2023年度公务用车运行维护费中，公务用车加油</w:t>
      </w:r>
      <w:r>
        <w:rPr>
          <w:rFonts w:ascii="仿宋_GB2312" w:eastAsia="仿宋_GB2312"/>
          <w:sz w:val="28"/>
          <w:szCs w:val="28"/>
        </w:rPr>
        <w:t>4.15</w:t>
      </w:r>
      <w:r>
        <w:rPr>
          <w:rFonts w:hint="eastAsia" w:ascii="仿宋_GB2312" w:eastAsia="仿宋_GB2312"/>
          <w:sz w:val="28"/>
          <w:szCs w:val="28"/>
        </w:rPr>
        <w:t>万元，公务用车维修</w:t>
      </w:r>
      <w:r>
        <w:rPr>
          <w:rFonts w:ascii="仿宋_GB2312" w:eastAsia="仿宋_GB2312"/>
          <w:sz w:val="28"/>
          <w:szCs w:val="28"/>
        </w:rPr>
        <w:t>11.81</w:t>
      </w:r>
      <w:r>
        <w:rPr>
          <w:rFonts w:hint="eastAsia" w:ascii="仿宋_GB2312" w:eastAsia="仿宋_GB2312"/>
          <w:sz w:val="28"/>
          <w:szCs w:val="28"/>
        </w:rPr>
        <w:t>万元，公务用车保险</w:t>
      </w:r>
      <w:r>
        <w:rPr>
          <w:rFonts w:ascii="仿宋_GB2312" w:eastAsia="仿宋_GB2312"/>
          <w:sz w:val="28"/>
          <w:szCs w:val="28"/>
        </w:rPr>
        <w:t>3.51</w:t>
      </w:r>
      <w:r>
        <w:rPr>
          <w:rFonts w:hint="eastAsia" w:ascii="仿宋_GB2312" w:eastAsia="仿宋_GB2312"/>
          <w:sz w:val="28"/>
          <w:szCs w:val="28"/>
        </w:rPr>
        <w:t>万元，公务用车其他支出</w:t>
      </w:r>
      <w:r>
        <w:rPr>
          <w:rFonts w:ascii="仿宋_GB2312" w:eastAsia="仿宋_GB2312"/>
          <w:sz w:val="28"/>
          <w:szCs w:val="28"/>
        </w:rPr>
        <w:t>4.99</w:t>
      </w:r>
      <w:r>
        <w:rPr>
          <w:rFonts w:hint="eastAsia" w:ascii="仿宋_GB2312" w:eastAsia="仿宋_GB2312"/>
          <w:sz w:val="28"/>
          <w:szCs w:val="28"/>
        </w:rPr>
        <w:t>万元。2023年度公务用车保有量17辆，车均运行维护费1.44万元。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2023年度使用财政拨款安排的基本支出中的日常公用经费支出，合计132.75万元，比上年减少8.87万元，减少原因：严格落实过“紧日子”要求，压减一般性支出。</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41.63</w:t>
      </w:r>
      <w:r>
        <w:rPr>
          <w:rFonts w:hint="eastAsia" w:ascii="仿宋_GB2312" w:eastAsia="仿宋_GB2312"/>
          <w:sz w:val="28"/>
          <w:szCs w:val="28"/>
        </w:rPr>
        <w:t>万元，其中：政府采购货物支出</w:t>
      </w:r>
      <w:r>
        <w:rPr>
          <w:rFonts w:ascii="仿宋_GB2312" w:eastAsia="仿宋_GB2312"/>
          <w:sz w:val="28"/>
          <w:szCs w:val="28"/>
        </w:rPr>
        <w:t>3.08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38.54</w:t>
      </w:r>
      <w:r>
        <w:rPr>
          <w:rFonts w:hint="eastAsia" w:ascii="仿宋_GB2312" w:eastAsia="仿宋_GB2312"/>
          <w:sz w:val="28"/>
          <w:szCs w:val="28"/>
        </w:rPr>
        <w:t>万元。授予中小企业合同金额</w:t>
      </w:r>
      <w:r>
        <w:rPr>
          <w:rFonts w:ascii="仿宋_GB2312" w:eastAsia="仿宋_GB2312"/>
          <w:sz w:val="28"/>
          <w:szCs w:val="28"/>
        </w:rPr>
        <w:t>35.37</w:t>
      </w:r>
      <w:r>
        <w:rPr>
          <w:rFonts w:hint="eastAsia" w:ascii="仿宋_GB2312" w:eastAsia="仿宋_GB2312"/>
          <w:sz w:val="28"/>
          <w:szCs w:val="28"/>
        </w:rPr>
        <w:t>万元，占政府采购支出总额的</w:t>
      </w:r>
      <w:r>
        <w:rPr>
          <w:rFonts w:hint="eastAsia" w:ascii="仿宋_GB2312" w:eastAsia="仿宋_GB2312"/>
          <w:sz w:val="28"/>
          <w:szCs w:val="28"/>
          <w:lang w:eastAsia="zh-CN"/>
        </w:rPr>
        <w:t>84.95</w:t>
      </w:r>
      <w:r>
        <w:rPr>
          <w:rFonts w:hint="eastAsia" w:ascii="仿宋_GB2312" w:eastAsia="仿宋_GB2312"/>
          <w:sz w:val="28"/>
          <w:szCs w:val="28"/>
        </w:rPr>
        <w:t>%，其中：授予小微企业合同金额</w:t>
      </w:r>
      <w:r>
        <w:rPr>
          <w:rFonts w:ascii="仿宋_GB2312" w:eastAsia="仿宋_GB2312"/>
          <w:sz w:val="28"/>
          <w:szCs w:val="28"/>
        </w:rPr>
        <w:t>25.4</w:t>
      </w:r>
      <w:r>
        <w:rPr>
          <w:rFonts w:hint="eastAsia" w:ascii="仿宋_GB2312" w:eastAsia="仿宋_GB2312"/>
          <w:sz w:val="28"/>
          <w:szCs w:val="28"/>
        </w:rPr>
        <w:t>万元，占政府采购支出总额的</w:t>
      </w:r>
      <w:r>
        <w:rPr>
          <w:rFonts w:hint="eastAsia" w:ascii="仿宋_GB2312" w:eastAsia="仿宋_GB2312"/>
          <w:sz w:val="28"/>
          <w:szCs w:val="28"/>
          <w:lang w:eastAsia="zh-CN"/>
        </w:rPr>
        <w:t>61</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0台，共计0.00万元；新购置单位价值100万元（含）以上的设备0台（套），共计0.00万元。截至12月31日，北京市药品监督管理局第五分局共有车辆17台，共计218.12万元；单位价值100万元（含）以上的设备0台（套），共计0.00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政府购买服务决算1</w:t>
      </w:r>
      <w:r>
        <w:rPr>
          <w:rFonts w:hint="eastAsia" w:ascii="仿宋_GB2312" w:eastAsia="仿宋_GB2312"/>
          <w:sz w:val="28"/>
          <w:szCs w:val="28"/>
          <w:lang w:val="en-US" w:eastAsia="zh-CN"/>
        </w:rPr>
        <w:t>61.31</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7.一般公共服务支出（类）市场监督管理事务（款）行政运行（项）：反映行政单位（包括实行公务员管理的事业单位）的基本支出。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8.一般公共服务支出（类）市场监督管理事务（款）药品事务（项）：反映用于药品（含中药、民族药）监督管理方面的支出。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9.一般公共服务支出（类）市场监督管理事务（款）化妆品事务（项）：反映用于化妆品监督管理方面的支出。</w:t>
      </w:r>
    </w:p>
    <w:p>
      <w:pPr>
        <w:spacing w:line="580" w:lineRule="exact"/>
        <w:ind w:firstLine="560" w:firstLineChars="200"/>
        <w:rPr>
          <w:rFonts w:hint="eastAsia"/>
        </w:rPr>
      </w:pPr>
      <w:r>
        <w:rPr>
          <w:rFonts w:hint="eastAsia" w:ascii="仿宋_GB2312" w:eastAsia="仿宋_GB2312"/>
          <w:sz w:val="28"/>
          <w:szCs w:val="28"/>
        </w:rPr>
        <w:t>10.一般公共服务支出（类）市场监督管理事务（款）其他市场监督管理事务（项）：反映用于除上述项目以外其他市场监督管理事务方面的支出。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11.社会保障和就业支出（类）行政事业单位养老支出（款）机关事业单位基本养老保险缴费支出（项）：反映机关事业单位实施养老保险制度由单位缴纳的基本养老保险费支出。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12.社会保障和就业支出（类）行政事业单位养老支出（款）机关事业单位职业年金缴费支出（项）：反映机关事业单位实施养老保险制度由单位实际缴纳的职业年金支出。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13.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14.卫生健康支出（类）行政事业单位医疗（款）公务员医疗补助（项）：反映财政部门安排的公务员医疗补助经费。</w:t>
      </w:r>
    </w:p>
    <w:p>
      <w:pPr>
        <w:spacing w:line="560" w:lineRule="exact"/>
        <w:ind w:firstLine="560" w:firstLineChars="200"/>
        <w:rPr>
          <w:rFonts w:hint="eastAsia" w:ascii="仿宋_GB2312" w:hAnsi="Calibri" w:eastAsia="仿宋_GB2312" w:cs="Calibri"/>
          <w:sz w:val="28"/>
          <w:szCs w:val="28"/>
        </w:rPr>
      </w:pPr>
      <w:r>
        <w:rPr>
          <w:rFonts w:hint="eastAsia" w:ascii="仿宋_GB2312" w:hAnsi="Calibri" w:eastAsia="仿宋_GB2312" w:cs="Calibri"/>
          <w:sz w:val="28"/>
          <w:szCs w:val="28"/>
        </w:rPr>
        <w:t>15.教育支出（类）进修及培训（款）培训支出（项）：反映各部门安排的用于培训的支出。教育部门的师资培训，党校、行政学院等专业干部教育机构的支出，以及退役士兵、转业士官的培训支出，不在本科目反映。</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jc w:val="both"/>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一、项目</w:t>
      </w:r>
      <w:r>
        <w:rPr>
          <w:rFonts w:ascii="黑体" w:eastAsia="黑体"/>
          <w:sz w:val="28"/>
          <w:szCs w:val="28"/>
        </w:rPr>
        <w:t>支出绩效自评表</w:t>
      </w:r>
      <w:r>
        <w:rPr>
          <w:rFonts w:hint="eastAsia" w:ascii="黑体" w:eastAsia="黑体"/>
          <w:sz w:val="28"/>
          <w:szCs w:val="28"/>
        </w:rPr>
        <w:t>（详见附件）</w:t>
      </w:r>
    </w:p>
    <w:tbl>
      <w:tblPr>
        <w:tblStyle w:val="10"/>
        <w:tblW w:w="143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5"/>
        <w:gridCol w:w="1245"/>
        <w:gridCol w:w="1545"/>
        <w:gridCol w:w="2250"/>
        <w:gridCol w:w="1305"/>
        <w:gridCol w:w="1500"/>
        <w:gridCol w:w="1695"/>
        <w:gridCol w:w="1155"/>
        <w:gridCol w:w="1230"/>
        <w:gridCol w:w="1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14310"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Style w:val="20"/>
                <w:lang w:val="en-US" w:eastAsia="zh-CN" w:bidi="ar"/>
              </w:rPr>
              <w:t>项目支出绩效自评表</w:t>
            </w:r>
            <w:r>
              <w:rPr>
                <w:rStyle w:val="21"/>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4310"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3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1096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第五分局“两品一械”监管工作经费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3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50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北京市药品监督管理局066</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42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北京市药品监督管理局第五分局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3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项目负责人</w:t>
            </w:r>
          </w:p>
        </w:tc>
        <w:tc>
          <w:tcPr>
            <w:tcW w:w="50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韩丽</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联系电话</w:t>
            </w:r>
          </w:p>
        </w:tc>
        <w:tc>
          <w:tcPr>
            <w:tcW w:w="42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61438253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334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项目资金（万元）</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34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223.96</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185.370857 </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184.027275 </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99.28%</w:t>
            </w:r>
          </w:p>
        </w:tc>
        <w:tc>
          <w:tcPr>
            <w:tcW w:w="18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9.93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34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其中：当年财政拨款</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223.96</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185.370857 </w:t>
            </w: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184.027275 </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34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16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34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78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2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78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做好区域内的药品、医疗器械和化妆品生产监管，以及药品批发、零售连锁总部和互联网销售第三方平台监管等工作，宣传、贯彻、实施“两品一械”监督管理方面的法律、法规、规章和政策性规定。承担市药监局职责范围内的日常监督检查职责及相应的检查任务。组织实施辖区专项整治相关工作。实施市药监局下达的抽样任务。对辖区内投诉举报进行调查处理。实施非行政处罚类行政措施，对发现的违法行为线索进行处置。做好生产环节召回相关工作。管理辖区内不良反应或事件、药物滥用报告和监测。承担市级应急处置相应职责等工作。做到依法行政、有效监管、服务民生、保障安全。</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积极履职，认真开展“两品一械”监管工作，深入排查药品安全隐患，消除药品安全风险，堵塞监管漏洞，护航辖区“两品一械”安全。全年未发生较重大安全事故。开展各种形式的宣传，贯彻落实药械相关法律法规精神，广泛宣传普及安全法律知识，有效提高辖区消费者自我保护意识，形成社会共治、人人监督药品安全的良好氛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年度指标值</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实际完成值</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124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（40分）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辖区“两品一械”检查监管企业数</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≥229家</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229家</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辖区监督检查企业覆盖率</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“两品一械”监管检查实施期</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1年</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1年</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成本指标（10分）</w:t>
            </w:r>
          </w:p>
        </w:tc>
        <w:tc>
          <w:tcPr>
            <w:tcW w:w="15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经济成本指标</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辖区内“两品一械”宣传工作成本</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≤30.04万元</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30.04万元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“两品一械”监管检查预算控制数</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≤223.96万元</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184.03万元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4.1</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落实过紧日子要求,压减差旅费等支出。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效益指标（30分）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辖区“两品一械”安全</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得到保障</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得到保障</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满意度指标（10分）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辖区监管主体“两品一械”安全满意度</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169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90%</w:t>
            </w:r>
          </w:p>
        </w:tc>
        <w:tc>
          <w:tcPr>
            <w:tcW w:w="11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009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总分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100.00 </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99.03 </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20"/>
                <w:szCs w:val="20"/>
                <w:u w:val="none"/>
              </w:rPr>
            </w:pPr>
          </w:p>
        </w:tc>
      </w:tr>
    </w:tbl>
    <w:p>
      <w:pPr>
        <w:pStyle w:val="2"/>
        <w:ind w:left="0" w:leftChars="0" w:firstLine="0" w:firstLineChars="0"/>
      </w:pPr>
    </w:p>
    <w:p>
      <w:pPr>
        <w:pStyle w:val="2"/>
      </w:pPr>
    </w:p>
    <w:tbl>
      <w:tblPr>
        <w:tblStyle w:val="10"/>
        <w:tblW w:w="147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5"/>
        <w:gridCol w:w="1245"/>
        <w:gridCol w:w="1545"/>
        <w:gridCol w:w="2850"/>
        <w:gridCol w:w="1305"/>
        <w:gridCol w:w="1500"/>
        <w:gridCol w:w="1950"/>
        <w:gridCol w:w="1155"/>
        <w:gridCol w:w="1230"/>
        <w:gridCol w:w="13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0" w:hRule="atLeast"/>
        </w:trPr>
        <w:tc>
          <w:tcPr>
            <w:tcW w:w="14700"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r>
              <w:rPr>
                <w:rFonts w:hint="eastAsia" w:ascii="宋体" w:hAnsi="宋体" w:eastAsia="宋体" w:cs="宋体"/>
                <w:i w:val="0"/>
                <w:color w:val="000000"/>
                <w:kern w:val="0"/>
                <w:sz w:val="32"/>
                <w:szCs w:val="32"/>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14700"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3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113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第五分局-药品购样经费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3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56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北京市药品监督管理局066</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37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北京市药品监督管理局第五分局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3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项目负责人</w:t>
            </w:r>
          </w:p>
        </w:tc>
        <w:tc>
          <w:tcPr>
            <w:tcW w:w="56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韩丽</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联系电话</w:t>
            </w:r>
          </w:p>
        </w:tc>
        <w:tc>
          <w:tcPr>
            <w:tcW w:w="37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61438253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334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项目资金（万元）</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34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188.622464 </w:t>
            </w: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188.622464 </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100.00%</w:t>
            </w: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34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其中：当年财政拨款</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188.622464 </w:t>
            </w: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188.622464 </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34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334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5" w:hRule="atLeast"/>
        </w:trPr>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84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57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4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84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按照市药监局制定的《北京市2023年药品（含药包材）、医疗器械、化妆品质量抽查检验工作实施方案》工作任务、职责分工，以及《中华人民共和国药品管理法》有关药品抽样应当购买样品的规定，我局承担辖区内药品市级抽样855批次、化妆品市级抽样60批次，进一步加强辖区药品安全监管，客观评价药品安全状况，及时发现和控制药品安全危害和风险。</w:t>
            </w:r>
          </w:p>
        </w:tc>
        <w:tc>
          <w:tcPr>
            <w:tcW w:w="57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完成辖区内药品市级抽样855批次、化妆品市级抽样60批次，进一步加强了辖区药品安全监管，客观评价药品安全状况，及时发现和控制药品安全危害和风险。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年度指标值</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实际完成值</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124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（40分）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辖区内药品、化妆品抽样批次</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≥915批次</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915批次</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4"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药品、化妆品抽样工作完成率</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8"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124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抽样工作完成时限</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2023年12月底</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2023年12月底</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0"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成本指标（10分）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经济成本指标</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项目预算控制数</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≤188.622464万元</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188.622464万元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42"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效益指标（30分）</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保障辖区药品、化妆品安全，避免发生较大及以上药品安全事故</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得到保障</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辖区药品、化妆品安全得到保障，未发生较大及以上药品安全事故</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trPr>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hint="eastAsia" w:ascii="宋体" w:hAnsi="宋体" w:eastAsia="宋体" w:cs="宋体"/>
                <w:i w:val="0"/>
                <w:color w:val="000000"/>
                <w:sz w:val="20"/>
                <w:szCs w:val="20"/>
                <w:u w:val="none"/>
              </w:rPr>
            </w:pPr>
          </w:p>
        </w:tc>
        <w:tc>
          <w:tcPr>
            <w:tcW w:w="124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满意度指标（10分）</w:t>
            </w:r>
          </w:p>
        </w:tc>
        <w:tc>
          <w:tcPr>
            <w:tcW w:w="154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服务对象满意度指标</w:t>
            </w:r>
          </w:p>
        </w:tc>
        <w:tc>
          <w:tcPr>
            <w:tcW w:w="2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药品、化妆品生产企业满意度</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r>
              <w:rPr>
                <w:rStyle w:val="24"/>
                <w:lang w:val="en-US" w:eastAsia="zh-CN" w:bidi="ar"/>
              </w:rPr>
              <w:t>85%</w:t>
            </w:r>
          </w:p>
        </w:tc>
        <w:tc>
          <w:tcPr>
            <w:tcW w:w="195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5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095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总分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100.00 </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 xml:space="preserve">100.00 </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20"/>
                <w:szCs w:val="20"/>
                <w:u w:val="none"/>
              </w:rPr>
            </w:pPr>
          </w:p>
        </w:tc>
      </w:tr>
    </w:tbl>
    <w:p>
      <w:bookmarkStart w:id="0" w:name="_GoBack"/>
      <w:bookmarkEnd w:id="0"/>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61007A87" w:usb1="80000000" w:usb2="00000008" w:usb3="00000000" w:csb0="200101FF" w:csb1="2028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8D56C1C"/>
    <w:rsid w:val="0BA148CA"/>
    <w:rsid w:val="0DD136FE"/>
    <w:rsid w:val="0F8E2C57"/>
    <w:rsid w:val="1059665E"/>
    <w:rsid w:val="10AC13BA"/>
    <w:rsid w:val="1A3F70F7"/>
    <w:rsid w:val="1AEC0734"/>
    <w:rsid w:val="1DEF20B0"/>
    <w:rsid w:val="214243FA"/>
    <w:rsid w:val="21AD613C"/>
    <w:rsid w:val="257A14F5"/>
    <w:rsid w:val="27196C26"/>
    <w:rsid w:val="29EF086F"/>
    <w:rsid w:val="2EFFE297"/>
    <w:rsid w:val="301437CA"/>
    <w:rsid w:val="349D1F0A"/>
    <w:rsid w:val="34DD0473"/>
    <w:rsid w:val="433E495C"/>
    <w:rsid w:val="4AC27CB3"/>
    <w:rsid w:val="4B0C3FFE"/>
    <w:rsid w:val="4BF72BEF"/>
    <w:rsid w:val="51DB3C59"/>
    <w:rsid w:val="54D13648"/>
    <w:rsid w:val="550C0952"/>
    <w:rsid w:val="55762E42"/>
    <w:rsid w:val="57A7B272"/>
    <w:rsid w:val="58470068"/>
    <w:rsid w:val="5A1720F9"/>
    <w:rsid w:val="5B9C37C2"/>
    <w:rsid w:val="5BA7C654"/>
    <w:rsid w:val="64C0607C"/>
    <w:rsid w:val="676F09E1"/>
    <w:rsid w:val="7A7F1C49"/>
    <w:rsid w:val="7B5B7AE6"/>
    <w:rsid w:val="7BA7071E"/>
    <w:rsid w:val="7BDF6DA8"/>
    <w:rsid w:val="7C7EDC1A"/>
    <w:rsid w:val="7CCED98D"/>
    <w:rsid w:val="7D08410F"/>
    <w:rsid w:val="7DB96DED"/>
    <w:rsid w:val="7DD3AD81"/>
    <w:rsid w:val="7F7FE70F"/>
    <w:rsid w:val="7FFF772F"/>
    <w:rsid w:val="8FDF044A"/>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61"/>
    <w:basedOn w:val="11"/>
    <w:uiPriority w:val="0"/>
    <w:rPr>
      <w:rFonts w:hint="eastAsia" w:ascii="宋体" w:hAnsi="宋体" w:eastAsia="宋体" w:cs="宋体"/>
      <w:b/>
      <w:color w:val="000000"/>
      <w:sz w:val="32"/>
      <w:szCs w:val="32"/>
      <w:u w:val="none"/>
    </w:rPr>
  </w:style>
  <w:style w:type="character" w:customStyle="1" w:styleId="21">
    <w:name w:val="font01"/>
    <w:basedOn w:val="11"/>
    <w:uiPriority w:val="0"/>
    <w:rPr>
      <w:rFonts w:hint="eastAsia" w:ascii="宋体" w:hAnsi="宋体" w:eastAsia="宋体" w:cs="宋体"/>
      <w:color w:val="000000"/>
      <w:sz w:val="32"/>
      <w:szCs w:val="32"/>
      <w:u w:val="none"/>
    </w:rPr>
  </w:style>
  <w:style w:type="character" w:customStyle="1" w:styleId="22">
    <w:name w:val="font81"/>
    <w:basedOn w:val="11"/>
    <w:uiPriority w:val="0"/>
    <w:rPr>
      <w:rFonts w:hint="eastAsia" w:ascii="宋体" w:hAnsi="宋体" w:eastAsia="宋体" w:cs="宋体"/>
      <w:color w:val="000000"/>
      <w:sz w:val="20"/>
      <w:szCs w:val="20"/>
      <w:u w:val="none"/>
    </w:rPr>
  </w:style>
  <w:style w:type="character" w:customStyle="1" w:styleId="23">
    <w:name w:val="font21"/>
    <w:basedOn w:val="11"/>
    <w:uiPriority w:val="0"/>
    <w:rPr>
      <w:rFonts w:hint="eastAsia" w:ascii="宋体" w:hAnsi="宋体" w:eastAsia="宋体" w:cs="宋体"/>
      <w:color w:val="000000"/>
      <w:sz w:val="20"/>
      <w:szCs w:val="20"/>
      <w:u w:val="none"/>
    </w:rPr>
  </w:style>
  <w:style w:type="character" w:customStyle="1" w:styleId="24">
    <w:name w:val="font101"/>
    <w:basedOn w:val="11"/>
    <w:uiPriority w:val="0"/>
    <w:rPr>
      <w:rFonts w:hint="eastAsia" w:ascii="宋体" w:hAnsi="宋体" w:eastAsia="宋体" w:cs="宋体"/>
      <w:color w:val="000000"/>
      <w:sz w:val="20"/>
      <w:szCs w:val="20"/>
      <w:u w:val="none"/>
    </w:rPr>
  </w:style>
  <w:style w:type="character" w:customStyle="1" w:styleId="25">
    <w:name w:val="font71"/>
    <w:basedOn w:val="11"/>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image" Target="media/image1.png"/><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data/home/user/LHY/&#36130;&#21153;/&#36130;&#21153;2024/2023&#20915;&#31639;/2023&#20915;&#31639;&#33609;&#26696;/&#20915;&#31639;&#33609;&#26696;&#21046;&#22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cap="none" spc="20" baseline="0">
                <a:solidFill>
                  <a:srgbClr val="808080">
                    <a:lumMod val="50000"/>
                    <a:lumOff val="50000"/>
                  </a:srgbClr>
                </a:solidFill>
                <a:latin typeface="+mn-lt"/>
                <a:ea typeface="+mn-ea"/>
                <a:cs typeface="+mn-cs"/>
              </a:defRPr>
            </a:pPr>
            <a:r>
              <a:rPr altLang="en-US"/>
              <a:t>支出决算</a:t>
            </a:r>
            <a:endParaRPr altLang="en-US"/>
          </a:p>
        </c:rich>
      </c:tx>
      <c:layout/>
      <c:overlay val="0"/>
      <c:spPr>
        <a:noFill/>
        <a:ln>
          <a:noFill/>
        </a:ln>
        <a:effectLst/>
      </c:spPr>
    </c:title>
    <c:autoTitleDeleted val="0"/>
    <c:plotArea>
      <c:layout/>
      <c:pieChart>
        <c:varyColors val="1"/>
        <c:ser>
          <c:idx val="0"/>
          <c:order val="0"/>
          <c:spPr/>
          <c:explosion val="0"/>
          <c:dPt>
            <c:idx val="0"/>
            <c:bubble3D val="0"/>
            <c:spPr>
              <a:gradFill rotWithShape="1">
                <a:gsLst>
                  <a:gs pos="0">
                    <a:srgbClr val="ABBEDB">
                      <a:lumMod val="110000"/>
                      <a:satMod val="105000"/>
                      <a:tint val="67000"/>
                    </a:srgbClr>
                  </a:gs>
                  <a:gs pos="50000">
                    <a:srgbClr val="9EB3D5">
                      <a:lumMod val="105000"/>
                      <a:satMod val="103000"/>
                      <a:tint val="73000"/>
                    </a:srgbClr>
                  </a:gs>
                  <a:gs pos="100000">
                    <a:srgbClr val="8CA7D2">
                      <a:lumMod val="105000"/>
                      <a:satMod val="109000"/>
                      <a:tint val="81000"/>
                    </a:srgbClr>
                  </a:gs>
                </a:gsLst>
                <a:lin ang="5400000" scaled="0"/>
              </a:gradFill>
              <a:ln w="9525" cap="flat" cmpd="sng" algn="ctr">
                <a:solidFill>
                  <a:srgbClr val="4D7EB9">
                    <a:shade val="95000"/>
                  </a:srgbClr>
                </a:solidFill>
                <a:round/>
              </a:ln>
              <a:effectLst/>
            </c:spPr>
          </c:dPt>
          <c:dPt>
            <c:idx val="1"/>
            <c:bubble3D val="0"/>
            <c:spPr>
              <a:gradFill rotWithShape="1">
                <a:gsLst>
                  <a:gs pos="0">
                    <a:srgbClr val="DDACAB">
                      <a:lumMod val="110000"/>
                      <a:satMod val="105000"/>
                      <a:tint val="67000"/>
                    </a:srgbClr>
                  </a:gs>
                  <a:gs pos="50000">
                    <a:srgbClr val="D79E9D">
                      <a:lumMod val="105000"/>
                      <a:satMod val="103000"/>
                      <a:tint val="73000"/>
                    </a:srgbClr>
                  </a:gs>
                  <a:gs pos="100000">
                    <a:srgbClr val="D48C8B">
                      <a:lumMod val="105000"/>
                      <a:satMod val="109000"/>
                      <a:tint val="81000"/>
                    </a:srgbClr>
                  </a:gs>
                </a:gsLst>
                <a:lin ang="5400000" scaled="0"/>
              </a:gradFill>
              <a:ln w="9525" cap="flat" cmpd="sng" algn="ctr">
                <a:solidFill>
                  <a:srgbClr val="BC4E4B">
                    <a:shade val="95000"/>
                  </a:srgbClr>
                </a:solidFill>
                <a:round/>
              </a:ln>
              <a:effectLst/>
            </c:spPr>
          </c:dPt>
          <c:dPt>
            <c:idx val="2"/>
            <c:bubble3D val="0"/>
            <c:spPr>
              <a:gradFill rotWithShape="1">
                <a:gsLst>
                  <a:gs pos="0">
                    <a:srgbClr val="CADBAF">
                      <a:lumMod val="110000"/>
                      <a:satMod val="105000"/>
                      <a:tint val="67000"/>
                    </a:srgbClr>
                  </a:gs>
                  <a:gs pos="50000">
                    <a:srgbClr val="C1D4A1">
                      <a:lumMod val="105000"/>
                      <a:satMod val="103000"/>
                      <a:tint val="73000"/>
                    </a:srgbClr>
                  </a:gs>
                  <a:gs pos="100000">
                    <a:srgbClr val="B9D091">
                      <a:lumMod val="105000"/>
                      <a:satMod val="109000"/>
                      <a:tint val="81000"/>
                    </a:srgbClr>
                  </a:gs>
                </a:gsLst>
                <a:lin ang="5400000" scaled="0"/>
              </a:gradFill>
              <a:ln w="9525" cap="flat" cmpd="sng" algn="ctr">
                <a:solidFill>
                  <a:srgbClr val="97B757">
                    <a:shade val="95000"/>
                  </a:srgbClr>
                </a:solidFill>
                <a:round/>
              </a:ln>
              <a:effectLst/>
            </c:spPr>
          </c:dPt>
          <c:dPt>
            <c:idx val="3"/>
            <c:bubble3D val="0"/>
            <c:spPr>
              <a:gradFill rotWithShape="1">
                <a:gsLst>
                  <a:gs pos="0">
                    <a:srgbClr val="BDB2CD">
                      <a:lumMod val="110000"/>
                      <a:satMod val="105000"/>
                      <a:tint val="67000"/>
                    </a:srgbClr>
                  </a:gs>
                  <a:gs pos="50000">
                    <a:srgbClr val="B2A5C4">
                      <a:lumMod val="105000"/>
                      <a:satMod val="103000"/>
                      <a:tint val="73000"/>
                    </a:srgbClr>
                  </a:gs>
                  <a:gs pos="100000">
                    <a:srgbClr val="A796BE">
                      <a:lumMod val="105000"/>
                      <a:satMod val="109000"/>
                      <a:tint val="81000"/>
                    </a:srgbClr>
                  </a:gs>
                </a:gsLst>
                <a:lin ang="5400000" scaled="0"/>
              </a:gradFill>
              <a:ln w="9525" cap="flat" cmpd="sng" algn="ctr">
                <a:solidFill>
                  <a:srgbClr val="7D629E">
                    <a:shade val="95000"/>
                  </a:srgbClr>
                </a:solidFill>
                <a:round/>
              </a:ln>
              <a:effectLst/>
            </c:spPr>
          </c:dPt>
          <c:dPt>
            <c:idx val="4"/>
            <c:bubble3D val="0"/>
            <c:spPr>
              <a:gradFill rotWithShape="1">
                <a:gsLst>
                  <a:gs pos="0">
                    <a:srgbClr val="AAD2E1">
                      <a:lumMod val="110000"/>
                      <a:satMod val="105000"/>
                      <a:tint val="67000"/>
                    </a:srgbClr>
                  </a:gs>
                  <a:gs pos="50000">
                    <a:srgbClr val="9CCBDB">
                      <a:lumMod val="105000"/>
                      <a:satMod val="103000"/>
                      <a:tint val="73000"/>
                    </a:srgbClr>
                  </a:gs>
                  <a:gs pos="100000">
                    <a:srgbClr val="8AC5D9">
                      <a:lumMod val="105000"/>
                      <a:satMod val="109000"/>
                      <a:tint val="81000"/>
                    </a:srgbClr>
                  </a:gs>
                </a:gsLst>
                <a:lin ang="5400000" scaled="0"/>
              </a:gradFill>
              <a:ln w="9525" cap="flat" cmpd="sng" algn="ctr">
                <a:solidFill>
                  <a:srgbClr val="49A8C2">
                    <a:shade val="95000"/>
                  </a:srgbClr>
                </a:solidFill>
                <a:round/>
              </a:ln>
              <a:effectLst/>
            </c:spPr>
          </c:dPt>
          <c:dLbls>
            <c:dLbl>
              <c:idx val="2"/>
              <c:layout>
                <c:manualLayout>
                  <c:x val="0.05"/>
                  <c:y val="0.0034924330616996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709724924053267"/>
                  <c:y val="0.00715574548933229"/>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166666666666667"/>
                  <c:y val="-0.0279394644935972"/>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595959">
                        <a:lumMod val="65000"/>
                        <a:lumOff val="35000"/>
                      </a:srgb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a:solidFill>
                        <a:srgbClr val="A6A6A6">
                          <a:lumMod val="35000"/>
                          <a:lumOff val="65000"/>
                        </a:srgbClr>
                      </a:solidFill>
                    </a:ln>
                    <a:effectLst/>
                  </c:spPr>
                </c15:leaderLines>
              </c:ext>
            </c:extLst>
          </c:dLbls>
          <c:cat>
            <c:strRef>
              <c:f>[决算草案制图.xlsx]Sheet1!$A$7:$A$11</c:f>
              <c:strCache>
                <c:ptCount val="5"/>
                <c:pt idx="0">
                  <c:v>基本支出</c:v>
                </c:pt>
                <c:pt idx="1">
                  <c:v>项目支出</c:v>
                </c:pt>
                <c:pt idx="2">
                  <c:v>上缴上级支出</c:v>
                </c:pt>
                <c:pt idx="3">
                  <c:v>经营支出</c:v>
                </c:pt>
                <c:pt idx="4">
                  <c:v>对附属单位补助支出</c:v>
                </c:pt>
              </c:strCache>
            </c:strRef>
          </c:cat>
          <c:val>
            <c:numRef>
              <c:f>[决算草案制图.xlsx]Sheet1!$B$7:$B$11</c:f>
              <c:numCache>
                <c:formatCode>0.00%</c:formatCode>
                <c:ptCount val="5"/>
                <c:pt idx="0">
                  <c:v>0.688</c:v>
                </c:pt>
                <c:pt idx="1">
                  <c:v>0.312</c:v>
                </c:pt>
                <c:pt idx="2" c:formatCode="0%">
                  <c:v>0</c:v>
                </c:pt>
                <c:pt idx="3" c:formatCode="0%">
                  <c:v>0</c:v>
                </c:pt>
                <c:pt idx="4" c:formatCode="0%">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808080">
                  <a:lumMod val="50000"/>
                  <a:lumOff val="50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4">
  <cs:axisTitle>
    <cs:lnRef idx="0"/>
    <cs:fillRef idx="0"/>
    <cs:effectRef idx="0"/>
    <cs:fontRef idx="minor">
      <a:srgbClr val="808080">
        <a:lumMod val="50000"/>
        <a:lumOff val="50000"/>
      </a:srgbClr>
    </cs:fontRef>
    <cs:defRPr sz="900" kern="1200" cap="all"/>
  </cs:axisTitle>
  <cs:categoryAxis>
    <cs:lnRef idx="0"/>
    <cs:fillRef idx="0"/>
    <cs:effectRef idx="0"/>
    <cs:fontRef idx="minor">
      <a:srgbClr val="808080">
        <a:lumMod val="50000"/>
        <a:lumOff val="50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595959">
        <a:lumMod val="65000"/>
        <a:lumOff val="3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rgbClr val="000000"/>
    </cs:fontRef>
    <cs:spPr>
      <a:ln w="9525" cap="flat" cmpd="sng" algn="ctr">
        <a:solidFill>
          <a:srgbClr val="F9F9F9">
            <a:shade val="95000"/>
          </a:srgbClr>
        </a:solidFill>
        <a:round/>
      </a:ln>
    </cs:spPr>
  </cs:dataPoint>
  <cs:dataPoint3D>
    <cs:lnRef idx="0"/>
    <cs:fillRef idx="2">
      <cs:styleClr val="auto"/>
    </cs:fillRef>
    <cs:effectRef idx="1"/>
    <cs:fontRef idx="minor">
      <a:srgbClr val="000000"/>
    </cs:fontRef>
  </cs:dataPoint3D>
  <cs:dataPointLine>
    <cs:lnRef idx="0">
      <cs:styleClr val="auto"/>
    </cs:lnRef>
    <cs:fillRef idx="2">
      <cs:styleClr val="auto"/>
    </cs:fillRef>
    <cs:effectRef idx="1"/>
    <cs:fontRef idx="minor">
      <a:srgbClr val="000000"/>
    </cs:fontRef>
    <cs:spPr>
      <a:ln w="15875" cap="rnd">
        <a:solidFill>
          <a:srgbClr val="FFFFFF"/>
        </a:solidFill>
        <a:round/>
      </a:ln>
    </cs:spPr>
  </cs:dataPointLine>
  <cs:dataPointMarker>
    <cs:lnRef idx="0">
      <cs:styleClr val="auto"/>
    </cs:lnRef>
    <cs:fillRef idx="2">
      <cs:styleClr val="auto"/>
    </cs:fillRef>
    <cs:effectRef idx="1"/>
    <cs:fontRef idx="minor">
      <a:srgbClr val="000000"/>
    </cs:fontRef>
    <cs:spPr>
      <a:ln w="9525" cap="flat" cmpd="sng" algn="ctr">
        <a:solidFill>
          <a:srgbClr val="F9F9F9">
            <a:shade val="95000"/>
          </a:srgbClr>
        </a:solidFill>
        <a:round/>
      </a:ln>
    </cs:spPr>
  </cs:dataPointMarker>
  <cs:dataPointMarkerLayout symbol="circle" size="4"/>
  <cs:dataPointWireframe>
    <cs:lnRef idx="0">
      <cs:styleClr val="auto"/>
    </cs:lnRef>
    <cs:fillRef idx="2"/>
    <cs:effectRef idx="0"/>
    <cs:fontRef idx="minor">
      <a:srgbClr val="000000"/>
    </cs:fontRef>
    <cs:spPr>
      <a:ln w="9525" cap="rnd">
        <a:solidFill>
          <a:srgbClr val="FFFFFF"/>
        </a:solidFill>
        <a:round/>
      </a:ln>
    </cs:spPr>
  </cs:dataPointWireframe>
  <cs:dataTable>
    <cs:lnRef idx="0"/>
    <cs:fillRef idx="0"/>
    <cs:effectRef idx="0"/>
    <cs:fontRef idx="minor">
      <a:srgbClr val="808080">
        <a:lumMod val="50000"/>
        <a:lumOff val="50000"/>
      </a:srgbClr>
    </cs:fontRef>
    <cs:spPr>
      <a:ln w="9525">
        <a:solidFill>
          <a:srgbClr val="D9D9D9">
            <a:lumMod val="15000"/>
            <a:lumOff val="85000"/>
          </a:srgbClr>
        </a:solidFill>
      </a:ln>
    </cs:spPr>
    <cs:defRPr sz="900" kern="1200"/>
  </cs:dataTable>
  <cs:downBar>
    <cs:lnRef idx="0"/>
    <cs:fillRef idx="0"/>
    <cs:effectRef idx="0"/>
    <cs:fontRef idx="minor">
      <a:srgbClr val="000000"/>
    </cs:fontRef>
    <cs:spPr>
      <a:solidFill>
        <a:srgbClr val="404040">
          <a:lumMod val="75000"/>
          <a:lumOff val="25000"/>
        </a:srgbClr>
      </a:solidFill>
      <a:ln w="9525">
        <a:solidFill>
          <a:srgbClr val="808080">
            <a:lumMod val="50000"/>
            <a:lumOff val="50000"/>
          </a:srgbClr>
        </a:solidFill>
      </a:ln>
    </cs:spPr>
  </cs:downBar>
  <cs:dropLine>
    <cs:lnRef idx="0"/>
    <cs:fillRef idx="0"/>
    <cs:effectRef idx="0"/>
    <cs:fontRef idx="minor">
      <a:srgbClr val="000000"/>
    </cs:fontRef>
    <cs:spPr>
      <a:ln w="9525">
        <a:solidFill>
          <a:srgbClr val="A6A6A6">
            <a:lumMod val="35000"/>
            <a:lumOff val="65000"/>
          </a:srgbClr>
        </a:solidFill>
        <a:prstDash val="dash"/>
      </a:ln>
    </cs:spPr>
  </cs:dropLine>
  <cs:errorBar>
    <cs:lnRef idx="0"/>
    <cs:fillRef idx="0"/>
    <cs:effectRef idx="0"/>
    <cs:fontRef idx="minor">
      <a:srgbClr val="000000"/>
    </cs:fontRef>
    <cs:spPr>
      <a:ln w="9525">
        <a:solidFill>
          <a:srgbClr val="808080">
            <a:lumMod val="50000"/>
            <a:lumOff val="50000"/>
          </a:srgbClr>
        </a:solidFill>
      </a:ln>
    </cs:spPr>
  </cs:errorBar>
  <cs:floor>
    <cs:lnRef idx="0"/>
    <cs:fillRef idx="0"/>
    <cs:effectRef idx="0"/>
    <cs:fontRef idx="minor">
      <a:srgbClr val="000000"/>
    </cs:fontRef>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a:solidFill>
          <a:srgbClr val="F2F2F2">
            <a:lumMod val="5000"/>
            <a:lumOff val="95000"/>
          </a:srgbClr>
        </a:solidFill>
      </a:ln>
    </cs:spPr>
  </cs:gridlineMinor>
  <cs:hiLoLine>
    <cs:lnRef idx="0"/>
    <cs:fillRef idx="0"/>
    <cs:effectRef idx="0"/>
    <cs:fontRef idx="minor">
      <a:srgbClr val="000000"/>
    </cs:fontRef>
    <cs:spPr>
      <a:ln w="9525">
        <a:solidFill>
          <a:srgbClr val="808080">
            <a:lumMod val="50000"/>
            <a:lumOff val="50000"/>
          </a:srgbClr>
        </a:solidFill>
        <a:prstDash val="dash"/>
      </a:ln>
    </cs:spPr>
  </cs:hiLoLine>
  <cs:leaderLine>
    <cs:lnRef idx="0"/>
    <cs:fillRef idx="0"/>
    <cs:effectRef idx="0"/>
    <cs:fontRef idx="minor">
      <a:srgbClr val="000000"/>
    </cs:fontRef>
    <cs:spPr>
      <a:ln w="9525">
        <a:solidFill>
          <a:srgbClr val="A6A6A6">
            <a:lumMod val="35000"/>
            <a:lumOff val="65000"/>
          </a:srgbClr>
        </a:solidFill>
      </a:ln>
    </cs:spPr>
  </cs:leaderLine>
  <cs:legend>
    <cs:lnRef idx="0"/>
    <cs:fillRef idx="0"/>
    <cs:effectRef idx="0"/>
    <cs:fontRef idx="minor">
      <a:srgbClr val="808080">
        <a:lumMod val="50000"/>
        <a:lumOff val="50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808080">
        <a:lumMod val="50000"/>
        <a:lumOff val="50000"/>
      </a:srgbClr>
    </cs:fontRef>
    <cs:spPr>
      <a:ln w="9525" cap="flat" cmpd="sng" algn="ctr">
        <a:solidFill>
          <a:srgbClr val="D9D9D9">
            <a:lumMod val="15000"/>
            <a:lumOff val="85000"/>
          </a:srgbClr>
        </a:solidFill>
        <a:round/>
      </a:ln>
    </cs:spPr>
    <cs:defRPr sz="900" kern="1200"/>
  </cs:seriesAxis>
  <cs:seriesLine>
    <cs:lnRef idx="0"/>
    <cs:fillRef idx="0"/>
    <cs:effectRef idx="0"/>
    <cs:fontRef idx="minor">
      <a:srgbClr val="000000"/>
    </cs:fontRef>
    <cs:spPr>
      <a:ln w="9525">
        <a:solidFill>
          <a:srgbClr val="A6A6A6">
            <a:lumMod val="35000"/>
            <a:lumOff val="65000"/>
          </a:srgbClr>
        </a:solidFill>
        <a:prstDash val="dash"/>
      </a:ln>
    </cs:spPr>
  </cs:seriesLine>
  <cs:title>
    <cs:lnRef idx="0"/>
    <cs:fillRef idx="0"/>
    <cs:effectRef idx="0"/>
    <cs:fontRef idx="minor">
      <a:srgbClr val="808080">
        <a:lumMod val="50000"/>
        <a:lumOff val="50000"/>
      </a:srgbClr>
    </cs:fontRef>
    <cs:defRPr sz="1400" kern="1200" cap="none" spc="20" baseline="0"/>
  </cs:title>
  <cs:trendline>
    <cs:lnRef idx="0">
      <cs:styleClr val="auto"/>
    </cs:lnRef>
    <cs:fillRef idx="2"/>
    <cs:effectRef idx="0"/>
    <cs:fontRef idx="minor">
      <a:srgbClr val="000000"/>
    </cs:fontRef>
    <cs:spPr>
      <a:ln w="9525" cap="rnd">
        <a:solidFill>
          <a:srgbClr val="FFFFFF"/>
        </a:solidFill>
      </a:ln>
    </cs:spPr>
  </cs:trendline>
  <cs:trendlineLabel>
    <cs:lnRef idx="0"/>
    <cs:fillRef idx="0"/>
    <cs:effectRef idx="0"/>
    <cs:fontRef idx="minor">
      <a:srgbClr val="808080">
        <a:lumMod val="50000"/>
        <a:lumOff val="50000"/>
      </a:srgbClr>
    </cs:fontRef>
    <cs:defRPr sz="900" kern="1200"/>
  </cs:trendlineLabel>
  <cs:upBar>
    <cs:lnRef idx="0"/>
    <cs:fillRef idx="0"/>
    <cs:effectRef idx="0"/>
    <cs:fontRef idx="minor">
      <a:srgbClr val="000000"/>
    </cs:fontRef>
    <cs:spPr>
      <a:solidFill>
        <a:srgbClr val="FFFFFF"/>
      </a:solidFill>
      <a:ln w="9525">
        <a:solidFill>
          <a:srgbClr val="808080">
            <a:lumMod val="50000"/>
            <a:lumOff val="50000"/>
          </a:srgbClr>
        </a:solidFill>
      </a:ln>
    </cs:spPr>
  </cs:upBar>
  <cs:valueAxis>
    <cs:lnRef idx="0"/>
    <cs:fillRef idx="0"/>
    <cs:effectRef idx="0"/>
    <cs:fontRef idx="minor">
      <a:srgbClr val="808080">
        <a:lumMod val="50000"/>
        <a:lumOff val="50000"/>
      </a:srgbClr>
    </cs:fontRef>
    <cs:defRPr sz="900" kern="1200"/>
  </cs:valueAxis>
  <cs:wall>
    <cs:lnRef idx="0"/>
    <cs:fillRef idx="0"/>
    <cs:effectRef idx="0"/>
    <cs:fontRef idx="minor">
      <a:srgbClr val="000000"/>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19</TotalTime>
  <ScaleCrop>false</ScaleCrop>
  <LinksUpToDate>false</LinksUpToDate>
  <CharactersWithSpaces>6143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user</cp:lastModifiedBy>
  <cp:lastPrinted>2020-08-07T19:39:00Z</cp:lastPrinted>
  <dcterms:modified xsi:type="dcterms:W3CDTF">2024-09-05T06:40:50Z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435078ACFECC4A5A8A519EF4C3681114_13</vt:lpwstr>
  </property>
</Properties>
</file>