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C64" w:rsidRDefault="004A2C64">
      <w:pPr>
        <w:jc w:val="center"/>
        <w:rPr>
          <w:rFonts w:ascii="仿宋_GB2312" w:eastAsia="仿宋_GB2312" w:hint="eastAsia"/>
          <w:b/>
          <w:sz w:val="32"/>
          <w:szCs w:val="32"/>
        </w:rPr>
      </w:pPr>
    </w:p>
    <w:p w:rsidR="004A2C64" w:rsidRDefault="004A2C64">
      <w:pPr>
        <w:jc w:val="center"/>
        <w:rPr>
          <w:rFonts w:ascii="黑体" w:eastAsia="黑体"/>
          <w:sz w:val="72"/>
          <w:szCs w:val="72"/>
        </w:rPr>
      </w:pPr>
    </w:p>
    <w:p w:rsidR="004A2C64" w:rsidRDefault="004A2C64">
      <w:pPr>
        <w:jc w:val="center"/>
        <w:rPr>
          <w:rFonts w:ascii="黑体" w:eastAsia="黑体"/>
          <w:sz w:val="72"/>
          <w:szCs w:val="72"/>
        </w:rPr>
      </w:pPr>
    </w:p>
    <w:p w:rsidR="004A2C64" w:rsidRDefault="004A2C64">
      <w:pPr>
        <w:jc w:val="center"/>
        <w:rPr>
          <w:rFonts w:ascii="黑体" w:eastAsia="黑体"/>
          <w:sz w:val="72"/>
          <w:szCs w:val="72"/>
        </w:rPr>
      </w:pPr>
    </w:p>
    <w:p w:rsidR="004A2C64" w:rsidRDefault="00FE0731">
      <w:pPr>
        <w:jc w:val="center"/>
        <w:rPr>
          <w:rFonts w:ascii="黑体" w:eastAsia="黑体"/>
          <w:sz w:val="72"/>
          <w:szCs w:val="72"/>
        </w:rPr>
      </w:pPr>
      <w:r>
        <w:rPr>
          <w:rFonts w:ascii="黑体" w:eastAsia="黑体" w:hint="eastAsia"/>
          <w:sz w:val="72"/>
          <w:szCs w:val="72"/>
        </w:rPr>
        <w:t>2023年度决算公开</w:t>
      </w:r>
    </w:p>
    <w:p w:rsidR="004A2C64" w:rsidRDefault="004A2C64" w:rsidP="003B446C">
      <w:pPr>
        <w:pStyle w:val="a0"/>
        <w:ind w:firstLine="1440"/>
        <w:rPr>
          <w:rFonts w:ascii="黑体" w:eastAsia="黑体"/>
          <w:sz w:val="72"/>
          <w:szCs w:val="72"/>
        </w:rPr>
      </w:pPr>
    </w:p>
    <w:p w:rsidR="004A2C64" w:rsidRDefault="00FE0731">
      <w:pPr>
        <w:jc w:val="center"/>
        <w:rPr>
          <w:rFonts w:ascii="黑体" w:eastAsia="黑体"/>
          <w:sz w:val="52"/>
          <w:szCs w:val="52"/>
        </w:rPr>
      </w:pPr>
      <w:r>
        <w:rPr>
          <w:rFonts w:ascii="宋体" w:hAnsi="宋体" w:hint="eastAsia"/>
          <w:sz w:val="36"/>
          <w:szCs w:val="36"/>
        </w:rPr>
        <w:t>单位名称：北京市医疗器械检验研究院（北京市医用生物防护装备检验研究中心）</w:t>
      </w:r>
    </w:p>
    <w:p w:rsidR="004A2C64" w:rsidRDefault="004A2C64">
      <w:pPr>
        <w:jc w:val="center"/>
        <w:rPr>
          <w:rFonts w:ascii="黑体" w:eastAsia="黑体"/>
          <w:sz w:val="32"/>
          <w:szCs w:val="32"/>
        </w:rPr>
      </w:pPr>
    </w:p>
    <w:p w:rsidR="003B446C" w:rsidRDefault="003B446C">
      <w:pPr>
        <w:spacing w:line="500" w:lineRule="exact"/>
        <w:ind w:firstLine="645"/>
        <w:jc w:val="center"/>
        <w:rPr>
          <w:rFonts w:ascii="宋体" w:hAnsi="宋体" w:cs="宋体"/>
          <w:b/>
          <w:bCs/>
          <w:kern w:val="0"/>
          <w:sz w:val="44"/>
          <w:szCs w:val="36"/>
        </w:rPr>
      </w:pPr>
    </w:p>
    <w:p w:rsidR="003B446C" w:rsidRDefault="003B446C">
      <w:pPr>
        <w:spacing w:line="500" w:lineRule="exact"/>
        <w:ind w:firstLine="645"/>
        <w:jc w:val="center"/>
        <w:rPr>
          <w:rFonts w:ascii="宋体" w:hAnsi="宋体" w:cs="宋体"/>
          <w:b/>
          <w:bCs/>
          <w:kern w:val="0"/>
          <w:sz w:val="44"/>
          <w:szCs w:val="36"/>
        </w:rPr>
      </w:pPr>
    </w:p>
    <w:p w:rsidR="003B446C" w:rsidRDefault="003B446C">
      <w:pPr>
        <w:spacing w:line="500" w:lineRule="exact"/>
        <w:ind w:firstLine="645"/>
        <w:jc w:val="center"/>
        <w:rPr>
          <w:rFonts w:ascii="宋体" w:hAnsi="宋体" w:cs="宋体"/>
          <w:b/>
          <w:bCs/>
          <w:kern w:val="0"/>
          <w:sz w:val="44"/>
          <w:szCs w:val="36"/>
        </w:rPr>
      </w:pPr>
    </w:p>
    <w:p w:rsidR="003B446C" w:rsidRDefault="003B446C">
      <w:pPr>
        <w:spacing w:line="500" w:lineRule="exact"/>
        <w:ind w:firstLine="645"/>
        <w:jc w:val="center"/>
        <w:rPr>
          <w:rFonts w:ascii="宋体" w:hAnsi="宋体" w:cs="宋体" w:hint="eastAsia"/>
          <w:b/>
          <w:bCs/>
          <w:kern w:val="0"/>
          <w:sz w:val="44"/>
          <w:szCs w:val="36"/>
        </w:rPr>
      </w:pPr>
    </w:p>
    <w:p w:rsidR="007260D5" w:rsidRDefault="007260D5" w:rsidP="007260D5">
      <w:pPr>
        <w:pStyle w:val="a0"/>
        <w:ind w:firstLine="420"/>
        <w:rPr>
          <w:rFonts w:hint="eastAsia"/>
        </w:rPr>
      </w:pPr>
    </w:p>
    <w:p w:rsidR="007260D5" w:rsidRPr="007260D5" w:rsidRDefault="007260D5" w:rsidP="007260D5">
      <w:pPr>
        <w:pStyle w:val="a0"/>
        <w:ind w:firstLine="420"/>
      </w:pPr>
    </w:p>
    <w:p w:rsidR="004A2C64" w:rsidRDefault="00FE0731">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4A2C64" w:rsidRDefault="004A2C64">
      <w:pPr>
        <w:spacing w:line="500" w:lineRule="exact"/>
        <w:ind w:firstLine="645"/>
        <w:jc w:val="center"/>
        <w:rPr>
          <w:rFonts w:ascii="宋体" w:hAnsi="宋体" w:cs="宋体"/>
          <w:b/>
          <w:bCs/>
          <w:kern w:val="0"/>
          <w:sz w:val="36"/>
          <w:szCs w:val="36"/>
        </w:rPr>
      </w:pPr>
    </w:p>
    <w:p w:rsidR="004A2C64" w:rsidRDefault="00FE073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2023年度决算报表</w:t>
      </w:r>
    </w:p>
    <w:p w:rsidR="004A2C64" w:rsidRDefault="00FE0731">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4A2C64" w:rsidRDefault="00FE073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4A2C64" w:rsidRDefault="00FE073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2023年度决算说明</w:t>
      </w:r>
    </w:p>
    <w:p w:rsidR="004A2C64" w:rsidRDefault="00FE0731">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4A2C64" w:rsidRDefault="00FE0731">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2023年度绩效评价情况</w:t>
      </w:r>
    </w:p>
    <w:p w:rsidR="004A2C64" w:rsidRDefault="004A2C64">
      <w:pPr>
        <w:tabs>
          <w:tab w:val="center" w:pos="6979"/>
        </w:tabs>
        <w:spacing w:beforeLines="50" w:before="156" w:afterLines="50" w:after="156"/>
        <w:jc w:val="center"/>
        <w:rPr>
          <w:rFonts w:ascii="宋体" w:hAnsi="宋体" w:cs="宋体"/>
          <w:b/>
          <w:bCs/>
          <w:spacing w:val="40"/>
          <w:kern w:val="0"/>
          <w:sz w:val="32"/>
          <w:szCs w:val="32"/>
        </w:rPr>
      </w:pPr>
    </w:p>
    <w:p w:rsidR="004A2C64" w:rsidRDefault="004A2C64">
      <w:pPr>
        <w:tabs>
          <w:tab w:val="center" w:pos="6979"/>
        </w:tabs>
        <w:spacing w:beforeLines="50" w:before="156" w:afterLines="50" w:after="156"/>
        <w:rPr>
          <w:rFonts w:ascii="宋体" w:hAnsi="宋体" w:cs="宋体"/>
          <w:b/>
          <w:bCs/>
          <w:spacing w:val="40"/>
          <w:kern w:val="0"/>
          <w:sz w:val="32"/>
          <w:szCs w:val="32"/>
        </w:rPr>
      </w:pPr>
    </w:p>
    <w:p w:rsidR="004A2C64" w:rsidRDefault="004A2C64" w:rsidP="003B446C">
      <w:pPr>
        <w:pStyle w:val="a0"/>
        <w:ind w:firstLine="803"/>
        <w:rPr>
          <w:rFonts w:ascii="宋体" w:hAnsi="宋体" w:cs="宋体"/>
          <w:b/>
          <w:bCs/>
          <w:spacing w:val="40"/>
          <w:kern w:val="0"/>
          <w:sz w:val="32"/>
          <w:szCs w:val="32"/>
        </w:rPr>
      </w:pPr>
    </w:p>
    <w:p w:rsidR="004A2C64" w:rsidRDefault="004A2C64" w:rsidP="003B446C">
      <w:pPr>
        <w:pStyle w:val="a0"/>
        <w:ind w:firstLine="803"/>
        <w:rPr>
          <w:rFonts w:ascii="宋体" w:hAnsi="宋体" w:cs="宋体"/>
          <w:b/>
          <w:bCs/>
          <w:spacing w:val="40"/>
          <w:kern w:val="0"/>
          <w:sz w:val="32"/>
          <w:szCs w:val="32"/>
        </w:rPr>
      </w:pPr>
    </w:p>
    <w:p w:rsidR="004A2C64" w:rsidRDefault="004A2C64">
      <w:pPr>
        <w:tabs>
          <w:tab w:val="center" w:pos="6979"/>
        </w:tabs>
        <w:spacing w:beforeLines="50" w:before="156" w:afterLines="50" w:after="156"/>
        <w:jc w:val="center"/>
        <w:rPr>
          <w:rFonts w:ascii="宋体" w:hAnsi="宋体" w:cs="宋体"/>
          <w:b/>
          <w:bCs/>
          <w:spacing w:val="40"/>
          <w:kern w:val="0"/>
          <w:sz w:val="32"/>
          <w:szCs w:val="32"/>
        </w:rPr>
      </w:pPr>
    </w:p>
    <w:p w:rsidR="004A2C64" w:rsidRDefault="00FE0731">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2023年度决算报表</w:t>
      </w:r>
    </w:p>
    <w:p w:rsidR="004A2C64" w:rsidRDefault="00FE0731">
      <w:pPr>
        <w:pStyle w:val="2"/>
        <w:rPr>
          <w:b w:val="0"/>
          <w:bCs w:val="0"/>
        </w:rPr>
        <w:sectPr w:rsidR="004A2C64">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4A2C64" w:rsidRDefault="00FE0731">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2023年度决算说明</w:t>
      </w:r>
    </w:p>
    <w:p w:rsidR="004A2C64" w:rsidRDefault="00FE0731" w:rsidP="003B446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4A2C64" w:rsidRDefault="00FE0731">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0C58B0" w:rsidRDefault="00FE0731" w:rsidP="008A47C3">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根据《中共北京市委机构编制委员会关于市市场监管局和市药监局所属事业单位改革有关事项的批复》（京编委〔2021〕137号）和《中共北京市药品监督管理局党组关于印发所属事业单位主要职责、内设机构和人员编制规定的通知》（</w:t>
      </w:r>
      <w:proofErr w:type="gramStart"/>
      <w:r>
        <w:rPr>
          <w:rFonts w:ascii="仿宋_GB2312" w:eastAsia="仿宋_GB2312" w:hint="eastAsia"/>
          <w:sz w:val="28"/>
          <w:szCs w:val="28"/>
        </w:rPr>
        <w:t>京药监</w:t>
      </w:r>
      <w:proofErr w:type="gramEnd"/>
      <w:r>
        <w:rPr>
          <w:rFonts w:ascii="仿宋_GB2312" w:eastAsia="仿宋_GB2312" w:hint="eastAsia"/>
          <w:sz w:val="28"/>
          <w:szCs w:val="28"/>
        </w:rPr>
        <w:t>党组发〔2021〕61号），设立北京市医疗器械检验研究院（北京市医用生物防护装备检验研究中心），为正处级公益二类事业单位，是北京市药品监督管理局直属事业单位。</w:t>
      </w:r>
    </w:p>
    <w:p w:rsidR="004A2C64" w:rsidRDefault="00FE0731" w:rsidP="008A47C3">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主要职责：开展医疗器械检验检测及相关技术服务工作；开展医疗器械产品安全质量及检验检测新技术、新方法、新标准的科学研究；开展医用生物防护装备检验检测技术、方法、标准、设备的研究工作；开展医疗器械相关质量标准、技术规范、技术要求、检验检测方法制修订及技术复核工作以及相关学术交流等科研工作。</w:t>
      </w:r>
    </w:p>
    <w:p w:rsidR="00DB7ABB" w:rsidRPr="00DB7ABB" w:rsidRDefault="00FD18A3" w:rsidP="008A47C3">
      <w:pPr>
        <w:pStyle w:val="a0"/>
        <w:spacing w:line="560" w:lineRule="exact"/>
        <w:ind w:firstLine="560"/>
      </w:pPr>
      <w:r>
        <w:rPr>
          <w:rFonts w:ascii="仿宋_GB2312" w:eastAsia="仿宋_GB2312" w:hint="eastAsia"/>
          <w:sz w:val="28"/>
          <w:szCs w:val="28"/>
        </w:rPr>
        <w:t>北京市医疗器械检验研究院</w:t>
      </w:r>
      <w:bookmarkStart w:id="0" w:name="_GoBack"/>
      <w:bookmarkEnd w:id="0"/>
      <w:r>
        <w:rPr>
          <w:rFonts w:ascii="仿宋_GB2312" w:eastAsia="仿宋_GB2312" w:hint="eastAsia"/>
          <w:sz w:val="28"/>
          <w:szCs w:val="28"/>
        </w:rPr>
        <w:t>（北京市医用生物防护装备检验研究中心）内设科室14个，分别为办公室（党群办公室）、财务部、人力资源部、科研与质量部、业务保障部、运维部、机电检验一室、机电检验二室、材料检验一室（医用生物防护检验室）、材料检验二室、材料检验三室、体外诊断检验室、电磁兼容检验室、生物相容性检验室。</w:t>
      </w:r>
    </w:p>
    <w:p w:rsidR="000C58B0" w:rsidRPr="000C58B0" w:rsidRDefault="000C58B0" w:rsidP="008A47C3">
      <w:pPr>
        <w:pStyle w:val="a0"/>
        <w:spacing w:line="560" w:lineRule="exact"/>
        <w:ind w:firstLine="560"/>
        <w:rPr>
          <w:rFonts w:ascii="仿宋_GB2312" w:eastAsia="仿宋_GB2312"/>
          <w:sz w:val="28"/>
          <w:szCs w:val="28"/>
        </w:rPr>
      </w:pPr>
      <w:r w:rsidRPr="000C58B0">
        <w:rPr>
          <w:rFonts w:ascii="仿宋_GB2312" w:eastAsia="仿宋_GB2312" w:hint="eastAsia"/>
          <w:sz w:val="28"/>
          <w:szCs w:val="28"/>
        </w:rPr>
        <w:t>本单位无下属单位。</w:t>
      </w:r>
    </w:p>
    <w:p w:rsidR="004A2C64" w:rsidRDefault="00FE0731" w:rsidP="008A47C3">
      <w:pPr>
        <w:tabs>
          <w:tab w:val="center" w:pos="6979"/>
        </w:tabs>
        <w:spacing w:line="56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4A2C64" w:rsidRDefault="00FE0731" w:rsidP="00E530F5">
      <w:pPr>
        <w:tabs>
          <w:tab w:val="center" w:pos="6979"/>
        </w:tabs>
        <w:spacing w:line="560" w:lineRule="exact"/>
        <w:ind w:firstLineChars="200" w:firstLine="560"/>
        <w:rPr>
          <w:rFonts w:ascii="仿宋_GB2312" w:eastAsia="仿宋_GB2312"/>
          <w:kern w:val="0"/>
          <w:sz w:val="28"/>
          <w:szCs w:val="28"/>
        </w:rPr>
      </w:pPr>
      <w:r>
        <w:rPr>
          <w:rFonts w:ascii="仿宋_GB2312" w:eastAsia="仿宋_GB2312" w:hint="eastAsia"/>
          <w:sz w:val="28"/>
          <w:szCs w:val="28"/>
        </w:rPr>
        <w:t>事业编制105人，实有人数98人。</w:t>
      </w:r>
    </w:p>
    <w:p w:rsidR="004A2C64" w:rsidRDefault="00FE0731" w:rsidP="00E530F5">
      <w:pPr>
        <w:tabs>
          <w:tab w:val="center" w:pos="6979"/>
        </w:tabs>
        <w:spacing w:line="560" w:lineRule="exact"/>
        <w:rPr>
          <w:rFonts w:ascii="黑体" w:eastAsia="黑体"/>
          <w:b/>
          <w:sz w:val="28"/>
          <w:szCs w:val="28"/>
        </w:rPr>
      </w:pPr>
      <w:r>
        <w:rPr>
          <w:rFonts w:ascii="仿宋_GB2312" w:eastAsia="仿宋_GB2312" w:hint="eastAsia"/>
          <w:b/>
          <w:sz w:val="32"/>
          <w:szCs w:val="32"/>
        </w:rPr>
        <w:lastRenderedPageBreak/>
        <w:t xml:space="preserve">   </w:t>
      </w:r>
      <w:r>
        <w:rPr>
          <w:rFonts w:ascii="黑体" w:eastAsia="黑体" w:hint="eastAsia"/>
          <w:b/>
          <w:sz w:val="28"/>
          <w:szCs w:val="28"/>
        </w:rPr>
        <w:t>二、收入支出决算总体情况说明</w:t>
      </w:r>
    </w:p>
    <w:p w:rsidR="004A2C64" w:rsidRDefault="00FE0731" w:rsidP="00E530F5">
      <w:pPr>
        <w:tabs>
          <w:tab w:val="center" w:pos="6979"/>
        </w:tabs>
        <w:spacing w:line="560" w:lineRule="exact"/>
        <w:ind w:firstLine="570"/>
        <w:rPr>
          <w:rFonts w:ascii="仿宋_GB2312" w:eastAsia="仿宋_GB2312"/>
          <w:sz w:val="28"/>
          <w:szCs w:val="28"/>
        </w:rPr>
      </w:pPr>
      <w:r>
        <w:rPr>
          <w:rFonts w:ascii="仿宋_GB2312" w:eastAsia="仿宋_GB2312" w:hint="eastAsia"/>
          <w:sz w:val="28"/>
          <w:szCs w:val="28"/>
        </w:rPr>
        <w:t>2023年度收、支总计48217.04万元，比上年增加15238.55万元，增长46.21%。</w:t>
      </w:r>
    </w:p>
    <w:p w:rsidR="004A2C64" w:rsidRDefault="00FE0731" w:rsidP="00E530F5">
      <w:pPr>
        <w:tabs>
          <w:tab w:val="center" w:pos="6979"/>
        </w:tabs>
        <w:spacing w:line="560" w:lineRule="exact"/>
        <w:ind w:firstLine="570"/>
        <w:rPr>
          <w:rFonts w:ascii="仿宋_GB2312" w:eastAsia="仿宋_GB2312"/>
          <w:sz w:val="28"/>
          <w:szCs w:val="28"/>
        </w:rPr>
      </w:pPr>
      <w:r>
        <w:rPr>
          <w:rFonts w:ascii="仿宋_GB2312" w:eastAsia="仿宋_GB2312" w:hint="eastAsia"/>
          <w:sz w:val="28"/>
          <w:szCs w:val="28"/>
        </w:rPr>
        <w:t>（一）收入决算说明</w:t>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2023年度本年收入合计16166.32万元，比上年减少354.56万元，下降2.15%。</w:t>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财政拨款收入7648.88万元，占收入合计的47.31%。其中：一般公共预算财政拨款收入7648.88万元，占收入合计的47.31%；政府性基金预算财政拨款收入0万元，占收入合计的0%；国有资本经营预算财政拨款收入0万元，占收入合计的0%；</w:t>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2.上级补助收入0万元，占收入合计的0%；</w:t>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3.事业收入238.47万元，占收入合计的1.48%；</w:t>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4.经营收入8182.94万元，占收入合计的50.62%；</w:t>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5.附属单位上缴收入0万元，占收入合计的0%；</w:t>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6.其他收入96.03万元，占收入合计的0.59%。</w:t>
      </w:r>
    </w:p>
    <w:p w:rsidR="004A2C64" w:rsidRDefault="00FE0731">
      <w:pPr>
        <w:pStyle w:val="2"/>
        <w:jc w:val="center"/>
      </w:pPr>
      <w:r>
        <w:rPr>
          <w:rFonts w:ascii="仿宋_GB2312" w:eastAsia="仿宋_GB2312" w:hint="eastAsia"/>
          <w:color w:val="000000"/>
          <w:sz w:val="32"/>
        </w:rPr>
        <w:lastRenderedPageBreak/>
        <w:t>图1：收入决算</w:t>
      </w:r>
    </w:p>
    <w:p w:rsidR="004A2C64" w:rsidRDefault="00FE0731">
      <w:pPr>
        <w:pStyle w:val="a0"/>
        <w:ind w:firstLine="420"/>
        <w:jc w:val="center"/>
      </w:pPr>
      <w:r>
        <w:rPr>
          <w:noProof/>
        </w:rP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4A2C64" w:rsidRDefault="00FE073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10762.58万元，比上年减少2071.45万元，下降16.14%，其中：基本支出5302.06万元，占支出合计的49.26%；项目支出3585.37万元，占支出合计的33.31%；上缴上级支出0万元，占支出合计的0%；经营支出1875.15万元，占支出合计的17.43%；对附属单位补助支出0万元，占支出合计的0%。</w:t>
      </w:r>
    </w:p>
    <w:p w:rsidR="004A2C64" w:rsidRDefault="00FE0731">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4A2C64" w:rsidRDefault="00FE0731">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A2C64" w:rsidRDefault="00FE0731" w:rsidP="003B446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4A2C64" w:rsidRDefault="00FE0731">
      <w:pPr>
        <w:spacing w:line="560" w:lineRule="exact"/>
        <w:ind w:firstLineChars="200" w:firstLine="56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8371.58</w:t>
      </w:r>
      <w:r>
        <w:rPr>
          <w:rFonts w:ascii="仿宋_GB2312" w:eastAsia="仿宋_GB2312" w:hint="eastAsia"/>
          <w:sz w:val="28"/>
          <w:szCs w:val="28"/>
        </w:rPr>
        <w:t>万元，比上年减少2078.20万元，下降19.89%。主要原因</w:t>
      </w:r>
      <w:r w:rsidRPr="002D0F04">
        <w:rPr>
          <w:rFonts w:ascii="仿宋_GB2312" w:eastAsia="仿宋_GB2312" w:hint="eastAsia"/>
          <w:sz w:val="28"/>
          <w:szCs w:val="28"/>
        </w:rPr>
        <w:t>：北京市医疗器械检验所综合性医疗器械检验基地二期工程</w:t>
      </w:r>
      <w:r w:rsidR="002D0F04" w:rsidRPr="002D0F04">
        <w:rPr>
          <w:rFonts w:ascii="仿宋_GB2312" w:eastAsia="仿宋_GB2312" w:hint="eastAsia"/>
          <w:sz w:val="28"/>
          <w:szCs w:val="28"/>
        </w:rPr>
        <w:t>按照</w:t>
      </w:r>
      <w:r w:rsidR="002D0F04">
        <w:rPr>
          <w:rFonts w:ascii="仿宋_GB2312" w:eastAsia="仿宋_GB2312" w:hint="eastAsia"/>
          <w:sz w:val="28"/>
          <w:szCs w:val="28"/>
        </w:rPr>
        <w:t>固定资产投资计划实施</w:t>
      </w:r>
      <w:r>
        <w:rPr>
          <w:rFonts w:ascii="仿宋_GB2312" w:eastAsia="仿宋_GB2312" w:hint="eastAsia"/>
          <w:sz w:val="28"/>
          <w:szCs w:val="28"/>
        </w:rPr>
        <w:t>。</w:t>
      </w:r>
    </w:p>
    <w:p w:rsidR="004A2C64" w:rsidRDefault="00FE0731" w:rsidP="003B446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4A2C64" w:rsidRDefault="00FE073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4A2C64" w:rsidRDefault="00FE073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6371.58</w:t>
      </w:r>
      <w:r>
        <w:rPr>
          <w:rFonts w:ascii="仿宋_GB2312" w:eastAsia="仿宋_GB2312" w:hint="eastAsia"/>
          <w:sz w:val="28"/>
          <w:szCs w:val="28"/>
        </w:rPr>
        <w:t>万元，主要用于以下方面：一般公共服务支出5630.23万元，占本年财政拨款支出88.36%；教育支出2.93万元，占本年财政拨款支出0.05%；社会保障和就业支出521.52万元，占本年财政拨款</w:t>
      </w:r>
      <w:r>
        <w:rPr>
          <w:rFonts w:ascii="仿宋_GB2312" w:eastAsia="仿宋_GB2312" w:hint="eastAsia"/>
          <w:sz w:val="28"/>
          <w:szCs w:val="28"/>
        </w:rPr>
        <w:lastRenderedPageBreak/>
        <w:t>支出8.19%；卫生健康支出216.90万元，占本年财政拨款支出3.40%。</w:t>
      </w:r>
    </w:p>
    <w:p w:rsidR="004A2C64" w:rsidRDefault="00FE073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4A2C64" w:rsidRDefault="00FE073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1、“一般公共服务支出”2023年度决算5630.23万元，比2023年度年初预算增加761.41万元，增长15.64%。其中：</w:t>
      </w:r>
    </w:p>
    <w:p w:rsidR="004A2C64" w:rsidRDefault="00FE0731">
      <w:pPr>
        <w:spacing w:line="580" w:lineRule="exact"/>
        <w:ind w:firstLineChars="200" w:firstLine="560"/>
        <w:rPr>
          <w:rFonts w:ascii="仿宋_GB2312" w:eastAsia="仿宋_GB2312"/>
          <w:sz w:val="28"/>
          <w:szCs w:val="28"/>
        </w:rPr>
      </w:pPr>
      <w:r>
        <w:rPr>
          <w:rFonts w:ascii="仿宋_GB2312" w:eastAsia="仿宋_GB2312" w:hint="eastAsia"/>
          <w:sz w:val="28"/>
          <w:szCs w:val="28"/>
        </w:rPr>
        <w:t>“市场监督管理事务”2023年度决算5630.23万元，比2023年度年初预算增加761.41万元，增长15.64%。主要原因：加大医疗器械检测能力投入。</w:t>
      </w:r>
    </w:p>
    <w:p w:rsidR="004A2C64" w:rsidRDefault="00FE0731">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“教育支出”2023年度决算2.93万元，比2023年度年初预算减少1.07万元，下降26.75%。其中：</w:t>
      </w:r>
    </w:p>
    <w:p w:rsidR="004A2C64" w:rsidRDefault="00FE0731">
      <w:pPr>
        <w:spacing w:line="580" w:lineRule="exact"/>
        <w:ind w:firstLineChars="200" w:firstLine="560"/>
      </w:pPr>
      <w:r>
        <w:rPr>
          <w:rFonts w:ascii="仿宋_GB2312" w:eastAsia="仿宋_GB2312" w:hint="eastAsia"/>
          <w:sz w:val="28"/>
          <w:szCs w:val="28"/>
        </w:rPr>
        <w:t>“进修及培训”2023年度决算2.93万元，比2023年度年初预算减少1.07万元，下降26.75%。主要原因：严格落实“过紧日子”压紧一般性支出。</w:t>
      </w:r>
    </w:p>
    <w:p w:rsidR="004A2C64" w:rsidRDefault="00FE0731">
      <w:pPr>
        <w:ind w:firstLine="570"/>
        <w:rPr>
          <w:rFonts w:ascii="仿宋_GB2312" w:eastAsia="仿宋_GB2312"/>
          <w:sz w:val="28"/>
          <w:szCs w:val="28"/>
        </w:rPr>
      </w:pPr>
      <w:r>
        <w:rPr>
          <w:rFonts w:ascii="仿宋_GB2312" w:eastAsia="仿宋_GB2312" w:hint="eastAsia"/>
          <w:sz w:val="28"/>
          <w:szCs w:val="28"/>
        </w:rPr>
        <w:t>3、“社会保障和就业支出”2023年度决算521.52万元，比2023年度年初预算增加33.59万元，增长6.88%。其中：</w:t>
      </w:r>
    </w:p>
    <w:p w:rsidR="004A2C64" w:rsidRDefault="00FE0731">
      <w:pPr>
        <w:ind w:firstLine="570"/>
        <w:rPr>
          <w:rFonts w:ascii="仿宋_GB2312" w:eastAsia="仿宋_GB2312"/>
          <w:sz w:val="28"/>
          <w:szCs w:val="28"/>
        </w:rPr>
      </w:pPr>
      <w:r>
        <w:rPr>
          <w:rFonts w:ascii="仿宋_GB2312" w:eastAsia="仿宋_GB2312" w:hint="eastAsia"/>
          <w:sz w:val="28"/>
          <w:szCs w:val="28"/>
        </w:rPr>
        <w:t>“行政事业单位养老支出”2023年度决算493.88万元，比2023年度年初预算增加5.95万元，增长1.23%。主要原因：落实机关事业单位养老保险政策，按规定缴纳养老保险及职业年金。</w:t>
      </w:r>
    </w:p>
    <w:p w:rsidR="004A2C64" w:rsidRDefault="00FE0731">
      <w:pPr>
        <w:ind w:firstLine="570"/>
        <w:rPr>
          <w:rFonts w:ascii="仿宋_GB2312" w:eastAsia="仿宋_GB2312"/>
          <w:sz w:val="28"/>
          <w:szCs w:val="28"/>
        </w:rPr>
      </w:pPr>
      <w:r>
        <w:rPr>
          <w:rFonts w:ascii="仿宋_GB2312" w:eastAsia="仿宋_GB2312" w:hint="eastAsia"/>
          <w:sz w:val="28"/>
          <w:szCs w:val="28"/>
        </w:rPr>
        <w:t>“抚恤”2023年度决算27.64万元，比2023年度年初预算增加27.64万元。主要原因：支付本单位在职去世人员一次性抚恤金。</w:t>
      </w:r>
    </w:p>
    <w:p w:rsidR="004A2C64" w:rsidRDefault="00FE0731">
      <w:pPr>
        <w:ind w:firstLineChars="200" w:firstLine="560"/>
        <w:rPr>
          <w:rFonts w:ascii="仿宋_GB2312" w:eastAsia="仿宋_GB2312"/>
          <w:sz w:val="28"/>
          <w:szCs w:val="28"/>
        </w:rPr>
      </w:pPr>
      <w:r>
        <w:rPr>
          <w:rFonts w:ascii="仿宋_GB2312" w:eastAsia="仿宋_GB2312" w:hint="eastAsia"/>
          <w:sz w:val="28"/>
          <w:szCs w:val="28"/>
        </w:rPr>
        <w:t>4、“卫生健康支出”2023年度决算216.90万元，比2023年度年初预算增加17.96万元，增长9.03%。</w:t>
      </w:r>
      <w:r w:rsidR="007D7045">
        <w:rPr>
          <w:rFonts w:ascii="仿宋_GB2312" w:eastAsia="仿宋_GB2312" w:hint="eastAsia"/>
          <w:sz w:val="28"/>
          <w:szCs w:val="28"/>
        </w:rPr>
        <w:t>其中：</w:t>
      </w:r>
    </w:p>
    <w:p w:rsidR="004A2C64" w:rsidRDefault="00FE0731">
      <w:pPr>
        <w:ind w:firstLineChars="200" w:firstLine="560"/>
        <w:rPr>
          <w:rFonts w:ascii="仿宋_GB2312" w:eastAsia="仿宋_GB2312" w:hAnsi="Cambria"/>
          <w:sz w:val="28"/>
          <w:szCs w:val="28"/>
        </w:rPr>
      </w:pPr>
      <w:r>
        <w:rPr>
          <w:rFonts w:ascii="仿宋_GB2312" w:eastAsia="仿宋_GB2312" w:hAnsi="Cambria" w:hint="eastAsia"/>
          <w:sz w:val="28"/>
          <w:szCs w:val="28"/>
        </w:rPr>
        <w:t>“</w:t>
      </w:r>
      <w:r w:rsidR="008242AE">
        <w:rPr>
          <w:rFonts w:ascii="仿宋_GB2312" w:eastAsia="仿宋_GB2312" w:hAnsi="Cambria" w:hint="eastAsia"/>
          <w:sz w:val="28"/>
          <w:szCs w:val="28"/>
        </w:rPr>
        <w:t>行政</w:t>
      </w:r>
      <w:r>
        <w:rPr>
          <w:rFonts w:ascii="仿宋_GB2312" w:eastAsia="仿宋_GB2312" w:hAnsi="Cambria" w:hint="eastAsia"/>
          <w:sz w:val="28"/>
          <w:szCs w:val="28"/>
        </w:rPr>
        <w:t>事业单位医疗”2023年度决算216.90万元，比2023年度年初预算增加17.96万元，增长9.03%。主要原因：</w:t>
      </w:r>
      <w:r>
        <w:rPr>
          <w:rFonts w:ascii="仿宋_GB2312" w:eastAsia="仿宋_GB2312" w:hint="eastAsia"/>
          <w:sz w:val="28"/>
          <w:szCs w:val="28"/>
        </w:rPr>
        <w:lastRenderedPageBreak/>
        <w:t>落实全市统一要求，缴纳职工基本医疗保险。</w:t>
      </w:r>
    </w:p>
    <w:p w:rsidR="004A2C64" w:rsidRDefault="00FE0731" w:rsidP="00EC4766">
      <w:pPr>
        <w:spacing w:line="56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4A2C64" w:rsidRDefault="00FE0731" w:rsidP="00EC4766">
      <w:pPr>
        <w:spacing w:line="560" w:lineRule="exact"/>
        <w:ind w:firstLineChars="392" w:firstLine="1098"/>
        <w:rPr>
          <w:rFonts w:ascii="仿宋_GB2312" w:eastAsia="仿宋_GB2312"/>
          <w:sz w:val="28"/>
          <w:szCs w:val="28"/>
        </w:rPr>
      </w:pPr>
      <w:r>
        <w:rPr>
          <w:rFonts w:ascii="仿宋_GB2312" w:eastAsia="仿宋_GB2312" w:hint="eastAsia"/>
          <w:sz w:val="28"/>
          <w:szCs w:val="28"/>
        </w:rPr>
        <w:t>本年度无此项支出。</w:t>
      </w:r>
    </w:p>
    <w:p w:rsidR="004A2C64" w:rsidRDefault="00FE0731" w:rsidP="00EC4766">
      <w:pPr>
        <w:spacing w:line="56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4A2C64" w:rsidRDefault="00FE0731" w:rsidP="00EC4766">
      <w:pPr>
        <w:spacing w:line="560" w:lineRule="exact"/>
        <w:ind w:firstLineChars="392" w:firstLine="1098"/>
        <w:rPr>
          <w:rFonts w:ascii="仿宋_GB2312" w:eastAsia="仿宋_GB2312"/>
          <w:sz w:val="28"/>
          <w:szCs w:val="28"/>
        </w:rPr>
      </w:pPr>
      <w:r>
        <w:rPr>
          <w:rFonts w:ascii="仿宋_GB2312" w:eastAsia="仿宋_GB2312" w:hint="eastAsia"/>
          <w:sz w:val="28"/>
          <w:szCs w:val="28"/>
        </w:rPr>
        <w:t>本年度无此项经费。</w:t>
      </w:r>
    </w:p>
    <w:p w:rsidR="004A2C64" w:rsidRDefault="00FE0731" w:rsidP="00EC4766">
      <w:pPr>
        <w:spacing w:line="56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4A2C64" w:rsidRDefault="00FE0731" w:rsidP="00EC4766">
      <w:pPr>
        <w:tabs>
          <w:tab w:val="center" w:pos="6979"/>
        </w:tabs>
        <w:spacing w:line="56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4661.67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4A2C64" w:rsidRDefault="00FE0731">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4A2C64" w:rsidRDefault="00FE0731">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4A2C64" w:rsidRDefault="00FE0731">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1个</w:t>
      </w:r>
      <w:r>
        <w:rPr>
          <w:rFonts w:ascii="仿宋_GB2312" w:eastAsia="仿宋_GB2312" w:hint="eastAsia"/>
          <w:sz w:val="28"/>
          <w:szCs w:val="28"/>
        </w:rPr>
        <w:t>事业单位。2023年度“三公”经费财政拨款决算数</w:t>
      </w:r>
      <w:r>
        <w:rPr>
          <w:rFonts w:ascii="仿宋_GB2312" w:eastAsia="仿宋_GB2312"/>
          <w:sz w:val="28"/>
          <w:szCs w:val="28"/>
        </w:rPr>
        <w:t>1.93</w:t>
      </w:r>
      <w:r>
        <w:rPr>
          <w:rFonts w:ascii="仿宋_GB2312" w:eastAsia="仿宋_GB2312" w:hint="eastAsia"/>
          <w:sz w:val="28"/>
          <w:szCs w:val="28"/>
        </w:rPr>
        <w:t>万元，比2023年度“三公”经费财政拨款年初预算</w:t>
      </w:r>
      <w:r>
        <w:rPr>
          <w:rFonts w:ascii="仿宋_GB2312" w:eastAsia="仿宋_GB2312"/>
          <w:sz w:val="28"/>
          <w:szCs w:val="28"/>
        </w:rPr>
        <w:t>6.05</w:t>
      </w:r>
      <w:r>
        <w:rPr>
          <w:rFonts w:ascii="仿宋_GB2312" w:eastAsia="仿宋_GB2312" w:hint="eastAsia"/>
          <w:sz w:val="28"/>
          <w:szCs w:val="28"/>
        </w:rPr>
        <w:t>万元减少</w:t>
      </w:r>
      <w:r>
        <w:rPr>
          <w:rFonts w:ascii="仿宋_GB2312" w:eastAsia="仿宋_GB2312"/>
          <w:sz w:val="28"/>
          <w:szCs w:val="28"/>
        </w:rPr>
        <w:t>4.1</w:t>
      </w:r>
      <w:r>
        <w:rPr>
          <w:rFonts w:ascii="仿宋_GB2312" w:eastAsia="仿宋_GB2312" w:hint="eastAsia"/>
          <w:sz w:val="28"/>
          <w:szCs w:val="28"/>
        </w:rPr>
        <w:t>2万元。其中：</w:t>
      </w:r>
    </w:p>
    <w:p w:rsidR="004A2C64" w:rsidRDefault="00FE0731">
      <w:pPr>
        <w:spacing w:line="560" w:lineRule="exact"/>
        <w:ind w:firstLineChars="200" w:firstLine="56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万元持平。主要原因：全年未安排因公出国（境）任务。2023年度因公出国（境）费用无支出 。</w:t>
      </w:r>
    </w:p>
    <w:p w:rsidR="004A2C64" w:rsidRDefault="00FE0731">
      <w:pPr>
        <w:spacing w:line="560" w:lineRule="exact"/>
        <w:ind w:firstLineChars="200" w:firstLine="560"/>
        <w:rPr>
          <w:rFonts w:ascii="仿宋_GB2312" w:eastAsia="仿宋_GB2312"/>
          <w:sz w:val="28"/>
          <w:szCs w:val="28"/>
          <w:highlight w:val="yellow"/>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0.05</w:t>
      </w:r>
      <w:r>
        <w:rPr>
          <w:rFonts w:ascii="仿宋_GB2312" w:eastAsia="仿宋_GB2312" w:hint="eastAsia"/>
          <w:sz w:val="28"/>
          <w:szCs w:val="28"/>
        </w:rPr>
        <w:t>万元减少0.05万元。主要原因：贯彻落实中央八项规定，严格控制公务接待支出。</w:t>
      </w:r>
      <w:r w:rsidR="00B928D0">
        <w:rPr>
          <w:rFonts w:ascii="仿宋_GB2312" w:eastAsia="仿宋_GB2312" w:hint="eastAsia"/>
          <w:sz w:val="28"/>
          <w:szCs w:val="28"/>
        </w:rPr>
        <w:t>2023年度公务接待费无支出。</w:t>
      </w:r>
    </w:p>
    <w:p w:rsidR="004A2C64" w:rsidRDefault="00FE0731">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3.公务用车购置及运行维护费。2023年度决算数1.93万元，比2023年度年初预算数6万元减少4.07万元。</w:t>
      </w:r>
    </w:p>
    <w:p w:rsidR="004A2C64" w:rsidRDefault="00FE0731">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万元持平。主要原因：2023年度本单位无公务车辆购置（更新）计划。公务用车运行维护费2023年度决算数</w:t>
      </w:r>
      <w:r>
        <w:rPr>
          <w:rFonts w:ascii="仿宋_GB2312" w:eastAsia="仿宋_GB2312"/>
          <w:sz w:val="28"/>
          <w:szCs w:val="28"/>
        </w:rPr>
        <w:t>1.93</w:t>
      </w:r>
      <w:r>
        <w:rPr>
          <w:rFonts w:ascii="仿宋_GB2312" w:eastAsia="仿宋_GB2312" w:hint="eastAsia"/>
          <w:sz w:val="28"/>
          <w:szCs w:val="28"/>
        </w:rPr>
        <w:t>万元，比2023年度年初预算数</w:t>
      </w:r>
      <w:r>
        <w:rPr>
          <w:rFonts w:ascii="仿宋_GB2312" w:eastAsia="仿宋_GB2312"/>
          <w:sz w:val="28"/>
          <w:szCs w:val="28"/>
        </w:rPr>
        <w:t>6</w:t>
      </w:r>
      <w:r>
        <w:rPr>
          <w:rFonts w:ascii="仿宋_GB2312" w:eastAsia="仿宋_GB2312" w:hint="eastAsia"/>
          <w:sz w:val="28"/>
          <w:szCs w:val="28"/>
        </w:rPr>
        <w:t>万元减少4.07</w:t>
      </w:r>
      <w:r w:rsidR="00D9352E">
        <w:rPr>
          <w:rFonts w:ascii="仿宋_GB2312" w:eastAsia="仿宋_GB2312" w:hint="eastAsia"/>
          <w:sz w:val="28"/>
          <w:szCs w:val="28"/>
        </w:rPr>
        <w:t>万元，主要原因：加强公务用车管理，进一步规范车辆运行维护</w:t>
      </w:r>
      <w:r>
        <w:rPr>
          <w:rFonts w:ascii="仿宋_GB2312" w:eastAsia="仿宋_GB2312" w:hint="eastAsia"/>
          <w:sz w:val="28"/>
          <w:szCs w:val="28"/>
        </w:rPr>
        <w:t>支出。2023年度公务用车运行维护费中，公务用车加油</w:t>
      </w:r>
      <w:r>
        <w:rPr>
          <w:rFonts w:ascii="仿宋_GB2312" w:eastAsia="仿宋_GB2312"/>
          <w:sz w:val="28"/>
          <w:szCs w:val="28"/>
        </w:rPr>
        <w:t>0.19</w:t>
      </w:r>
      <w:r>
        <w:rPr>
          <w:rFonts w:ascii="仿宋_GB2312" w:eastAsia="仿宋_GB2312" w:hint="eastAsia"/>
          <w:sz w:val="28"/>
          <w:szCs w:val="28"/>
        </w:rPr>
        <w:t>万元，公务用车维修</w:t>
      </w:r>
      <w:r>
        <w:rPr>
          <w:rFonts w:ascii="仿宋_GB2312" w:eastAsia="仿宋_GB2312"/>
          <w:sz w:val="28"/>
          <w:szCs w:val="28"/>
        </w:rPr>
        <w:t>0.71</w:t>
      </w:r>
      <w:r>
        <w:rPr>
          <w:rFonts w:ascii="仿宋_GB2312" w:eastAsia="仿宋_GB2312" w:hint="eastAsia"/>
          <w:sz w:val="28"/>
          <w:szCs w:val="28"/>
        </w:rPr>
        <w:t>万元，公务用车保险</w:t>
      </w:r>
      <w:r>
        <w:rPr>
          <w:rFonts w:ascii="仿宋_GB2312" w:eastAsia="仿宋_GB2312"/>
          <w:sz w:val="28"/>
          <w:szCs w:val="28"/>
        </w:rPr>
        <w:t>0.8</w:t>
      </w:r>
      <w:r>
        <w:rPr>
          <w:rFonts w:ascii="仿宋_GB2312" w:eastAsia="仿宋_GB2312" w:hint="eastAsia"/>
          <w:sz w:val="28"/>
          <w:szCs w:val="28"/>
        </w:rPr>
        <w:t>0万元，公务用车其他支出</w:t>
      </w:r>
      <w:r>
        <w:rPr>
          <w:rFonts w:ascii="仿宋_GB2312" w:eastAsia="仿宋_GB2312"/>
          <w:sz w:val="28"/>
          <w:szCs w:val="28"/>
        </w:rPr>
        <w:t>0.2</w:t>
      </w:r>
      <w:r>
        <w:rPr>
          <w:rFonts w:ascii="仿宋_GB2312" w:eastAsia="仿宋_GB2312" w:hint="eastAsia"/>
          <w:sz w:val="28"/>
          <w:szCs w:val="28"/>
        </w:rPr>
        <w:t>3万元。2023年度公务用车保有量3辆，车均运行维护费0.64万元。</w:t>
      </w:r>
    </w:p>
    <w:p w:rsidR="004A2C64" w:rsidRDefault="00FE0731" w:rsidP="00BC0174">
      <w:pPr>
        <w:tabs>
          <w:tab w:val="center" w:pos="6979"/>
        </w:tabs>
        <w:spacing w:line="560" w:lineRule="exact"/>
        <w:ind w:firstLineChars="198" w:firstLine="554"/>
        <w:rPr>
          <w:rFonts w:ascii="黑体" w:eastAsia="黑体"/>
          <w:sz w:val="28"/>
          <w:szCs w:val="28"/>
        </w:rPr>
      </w:pPr>
      <w:r>
        <w:rPr>
          <w:rFonts w:ascii="黑体" w:eastAsia="黑体" w:hint="eastAsia"/>
          <w:sz w:val="28"/>
          <w:szCs w:val="28"/>
        </w:rPr>
        <w:t>二、机关运行经费支出情况</w:t>
      </w:r>
    </w:p>
    <w:p w:rsidR="004A2C64" w:rsidRDefault="00FE0731" w:rsidP="00BC0174">
      <w:pPr>
        <w:spacing w:line="560" w:lineRule="exact"/>
        <w:ind w:left="540"/>
        <w:rPr>
          <w:rFonts w:ascii="仿宋_GB2312" w:eastAsia="仿宋_GB2312"/>
          <w:sz w:val="28"/>
          <w:szCs w:val="28"/>
        </w:rPr>
      </w:pPr>
      <w:r>
        <w:rPr>
          <w:rFonts w:ascii="仿宋_GB2312" w:eastAsia="仿宋_GB2312" w:hint="eastAsia"/>
          <w:sz w:val="28"/>
          <w:szCs w:val="28"/>
        </w:rPr>
        <w:t>本单位不在机关运行经费统计范围之内。</w:t>
      </w:r>
    </w:p>
    <w:p w:rsidR="004A2C64" w:rsidRDefault="00FE0731" w:rsidP="00BC0174">
      <w:pPr>
        <w:spacing w:line="560" w:lineRule="exact"/>
        <w:ind w:left="540"/>
        <w:rPr>
          <w:rFonts w:ascii="黑体" w:eastAsia="黑体"/>
          <w:sz w:val="28"/>
          <w:szCs w:val="28"/>
        </w:rPr>
      </w:pPr>
      <w:r>
        <w:rPr>
          <w:rFonts w:ascii="黑体" w:eastAsia="黑体" w:hint="eastAsia"/>
          <w:sz w:val="28"/>
          <w:szCs w:val="28"/>
        </w:rPr>
        <w:t>三、政府采购支出情况</w:t>
      </w:r>
    </w:p>
    <w:p w:rsidR="004A2C64" w:rsidRDefault="00FE0731" w:rsidP="00BC0174">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2023年度政府采购支出总额</w:t>
      </w:r>
      <w:r>
        <w:rPr>
          <w:rFonts w:ascii="仿宋_GB2312" w:eastAsia="仿宋_GB2312"/>
          <w:sz w:val="28"/>
          <w:szCs w:val="28"/>
        </w:rPr>
        <w:t>3250.79</w:t>
      </w:r>
      <w:r>
        <w:rPr>
          <w:rFonts w:ascii="仿宋_GB2312" w:eastAsia="仿宋_GB2312" w:hint="eastAsia"/>
          <w:sz w:val="28"/>
          <w:szCs w:val="28"/>
        </w:rPr>
        <w:t>万元，其中：政府采购货物支出</w:t>
      </w:r>
      <w:r>
        <w:rPr>
          <w:rFonts w:ascii="仿宋_GB2312" w:eastAsia="仿宋_GB2312"/>
          <w:sz w:val="28"/>
          <w:szCs w:val="28"/>
        </w:rPr>
        <w:t>535.61</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2715.18</w:t>
      </w:r>
      <w:r>
        <w:rPr>
          <w:rFonts w:ascii="仿宋_GB2312" w:eastAsia="仿宋_GB2312" w:hint="eastAsia"/>
          <w:sz w:val="28"/>
          <w:szCs w:val="28"/>
        </w:rPr>
        <w:t>万元。授予中小企业合同金额</w:t>
      </w:r>
      <w:r>
        <w:rPr>
          <w:rFonts w:ascii="仿宋_GB2312" w:eastAsia="仿宋_GB2312"/>
          <w:sz w:val="28"/>
          <w:szCs w:val="28"/>
        </w:rPr>
        <w:t>2626.28</w:t>
      </w:r>
      <w:r>
        <w:rPr>
          <w:rFonts w:ascii="仿宋_GB2312" w:eastAsia="仿宋_GB2312" w:hint="eastAsia"/>
          <w:sz w:val="28"/>
          <w:szCs w:val="28"/>
        </w:rPr>
        <w:t>万元，占政府采购支出总额的</w:t>
      </w:r>
      <w:r>
        <w:rPr>
          <w:rFonts w:ascii="仿宋_GB2312" w:eastAsia="仿宋_GB2312"/>
          <w:sz w:val="28"/>
          <w:szCs w:val="28"/>
        </w:rPr>
        <w:t>80.78</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2626.28</w:t>
      </w:r>
      <w:r>
        <w:rPr>
          <w:rFonts w:ascii="仿宋_GB2312" w:eastAsia="仿宋_GB2312" w:hint="eastAsia"/>
          <w:sz w:val="28"/>
          <w:szCs w:val="28"/>
        </w:rPr>
        <w:t>万元，占政府采购支出总额的</w:t>
      </w:r>
      <w:r>
        <w:rPr>
          <w:rFonts w:ascii="仿宋_GB2312" w:eastAsia="仿宋_GB2312"/>
          <w:sz w:val="28"/>
          <w:szCs w:val="28"/>
        </w:rPr>
        <w:t>80.78</w:t>
      </w:r>
      <w:r>
        <w:rPr>
          <w:rFonts w:ascii="仿宋_GB2312" w:eastAsia="仿宋_GB2312" w:hint="eastAsia"/>
          <w:sz w:val="28"/>
          <w:szCs w:val="28"/>
        </w:rPr>
        <w:t>%。</w:t>
      </w:r>
    </w:p>
    <w:p w:rsidR="004A2C64" w:rsidRDefault="00FE0731">
      <w:pPr>
        <w:ind w:firstLineChars="200" w:firstLine="560"/>
        <w:rPr>
          <w:rFonts w:ascii="黑体" w:eastAsia="黑体"/>
          <w:sz w:val="28"/>
          <w:szCs w:val="28"/>
          <w:highlight w:val="yellow"/>
        </w:rPr>
      </w:pPr>
      <w:r>
        <w:rPr>
          <w:rFonts w:ascii="黑体" w:eastAsia="黑体" w:hint="eastAsia"/>
          <w:sz w:val="28"/>
          <w:szCs w:val="28"/>
        </w:rPr>
        <w:t>四、国有资产占用情况</w:t>
      </w:r>
    </w:p>
    <w:p w:rsidR="004A2C64" w:rsidRDefault="00FE0731">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2023年度新购置车辆0台，共计0万元；新购置单位价值100万元（含）以上的设备3台（套），共计565.56万元。截至12月31日，</w:t>
      </w:r>
      <w:proofErr w:type="gramStart"/>
      <w:r>
        <w:rPr>
          <w:rFonts w:ascii="仿宋_GB2312" w:eastAsia="仿宋_GB2312" w:hint="eastAsia"/>
          <w:sz w:val="28"/>
          <w:szCs w:val="28"/>
        </w:rPr>
        <w:t>器检院</w:t>
      </w:r>
      <w:proofErr w:type="gramEnd"/>
      <w:r>
        <w:rPr>
          <w:rFonts w:ascii="仿宋_GB2312" w:eastAsia="仿宋_GB2312" w:hint="eastAsia"/>
          <w:sz w:val="28"/>
          <w:szCs w:val="28"/>
        </w:rPr>
        <w:t>共有车辆12台，共计351.99万元；单位价值100万元（含）以上的设备49台（套），共计15892.32万元。</w:t>
      </w:r>
    </w:p>
    <w:p w:rsidR="004A2C64" w:rsidRDefault="00FE0731" w:rsidP="003B446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4A2C64" w:rsidRDefault="00FE0731" w:rsidP="003B446C">
      <w:pPr>
        <w:ind w:firstLineChars="192" w:firstLine="538"/>
        <w:rPr>
          <w:rFonts w:ascii="仿宋_GB2312" w:eastAsia="仿宋_GB2312"/>
          <w:sz w:val="28"/>
          <w:szCs w:val="28"/>
        </w:rPr>
      </w:pPr>
      <w:r>
        <w:rPr>
          <w:rFonts w:ascii="仿宋_GB2312" w:eastAsia="仿宋_GB2312" w:hint="eastAsia"/>
          <w:sz w:val="28"/>
          <w:szCs w:val="28"/>
        </w:rPr>
        <w:t>本单位不属于政府购买服务主体。</w:t>
      </w:r>
    </w:p>
    <w:p w:rsidR="004A2C64" w:rsidRDefault="00FE0731">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4A2C64" w:rsidRDefault="00FE0731">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4A2C64" w:rsidRDefault="00FE0731">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4A2C64" w:rsidRDefault="00FE0731">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w:t>
      </w:r>
      <w:r>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rsidR="004A2C64" w:rsidRDefault="00FE0731">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4A2C64" w:rsidRDefault="00FE0731">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4A2C64" w:rsidRDefault="00FE0731">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4A2C64" w:rsidRDefault="00FE0731">
      <w:pPr>
        <w:spacing w:line="560" w:lineRule="exact"/>
        <w:ind w:firstLineChars="200" w:firstLine="560"/>
        <w:rPr>
          <w:rFonts w:ascii="仿宋_GB2312" w:eastAsia="仿宋_GB2312" w:hAnsi="Calibri" w:cs="Calibri"/>
          <w:sz w:val="28"/>
          <w:szCs w:val="28"/>
        </w:rPr>
      </w:pPr>
      <w:r>
        <w:rPr>
          <w:rFonts w:ascii="仿宋_GB2312" w:eastAsia="仿宋_GB2312" w:hint="eastAsia"/>
          <w:sz w:val="28"/>
          <w:szCs w:val="28"/>
        </w:rPr>
        <w:t>7.一般公共服务支出</w:t>
      </w:r>
      <w:r>
        <w:rPr>
          <w:rFonts w:ascii="仿宋_GB2312" w:eastAsia="仿宋_GB2312" w:hAnsi="Calibri" w:cs="Calibri" w:hint="eastAsia"/>
          <w:sz w:val="28"/>
          <w:szCs w:val="28"/>
        </w:rPr>
        <w:t>（类）市场监督管理事务（款）医疗器械事务（项）：反映用于医疗器械监督管理方面的支出。</w:t>
      </w:r>
    </w:p>
    <w:p w:rsidR="004A2C64" w:rsidRDefault="00FE0731">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8.一般公共服务支出（类）市场监督管理事务（款）事业运行（项）：反映事业单位的基本支出，不包括行政单位（包括实行公务员管理的事业单位）后勤服务中心、医务室等附属事业单位。</w:t>
      </w:r>
    </w:p>
    <w:p w:rsidR="004A2C64" w:rsidRDefault="00FE0731">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9.一般公共服务支出（类）市场监督管理事务（款）其他市场监督管理事务（项）：反映用于除上述项目以外其他市场监督管理事务方面的支出。</w:t>
      </w:r>
    </w:p>
    <w:p w:rsidR="004A2C64" w:rsidRDefault="00FE0731">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10.教育支出（类）进修及培训（款）培训支出（项）：反映各部门安排的用于培训的支出。教育部门的师资培训，党校、行政学院等专业干部教育机构的支出，以及退役士兵、转业士官的培训支出，不在本科目反映。</w:t>
      </w:r>
    </w:p>
    <w:p w:rsidR="004A2C64" w:rsidRDefault="00FE0731">
      <w:pPr>
        <w:pStyle w:val="a0"/>
        <w:spacing w:line="560" w:lineRule="exact"/>
        <w:ind w:firstLine="560"/>
        <w:rPr>
          <w:rFonts w:ascii="仿宋_GB2312" w:eastAsia="仿宋_GB2312" w:hAnsi="Calibri" w:cs="Calibri"/>
          <w:sz w:val="28"/>
          <w:szCs w:val="28"/>
        </w:rPr>
      </w:pPr>
      <w:r>
        <w:rPr>
          <w:rFonts w:ascii="仿宋_GB2312" w:eastAsia="仿宋_GB2312" w:hAnsi="Calibri" w:cs="Calibri" w:hint="eastAsia"/>
          <w:sz w:val="28"/>
          <w:szCs w:val="28"/>
        </w:rPr>
        <w:t>11.科学技术支出（类）应用研究（款）社会公益研究（项）：反映从事卫生、劳动保护、计划生育、环境科学、</w:t>
      </w:r>
      <w:r>
        <w:rPr>
          <w:rFonts w:ascii="仿宋_GB2312" w:eastAsia="仿宋_GB2312" w:hAnsi="Calibri" w:cs="Calibri" w:hint="eastAsia"/>
          <w:sz w:val="28"/>
          <w:szCs w:val="28"/>
        </w:rPr>
        <w:lastRenderedPageBreak/>
        <w:t>农业等社会公益专项科研方面的支出。</w:t>
      </w:r>
    </w:p>
    <w:p w:rsidR="004A2C64" w:rsidRDefault="00FE0731">
      <w:pPr>
        <w:pStyle w:val="a0"/>
        <w:ind w:firstLine="560"/>
        <w:rPr>
          <w:rFonts w:ascii="仿宋_GB2312" w:eastAsia="仿宋_GB2312" w:hAnsi="Calibri" w:cs="Calibri"/>
          <w:sz w:val="28"/>
          <w:szCs w:val="28"/>
        </w:rPr>
      </w:pPr>
      <w:r>
        <w:rPr>
          <w:rFonts w:ascii="仿宋_GB2312" w:eastAsia="仿宋_GB2312" w:hAnsi="Calibri" w:cs="Calibri" w:hint="eastAsia"/>
          <w:sz w:val="28"/>
          <w:szCs w:val="28"/>
        </w:rPr>
        <w:t>12.社会保障和就业支出（类）行政事业单位养老支出（款）事业单位离退休（项）：反映事业单位开支的离退休经费。</w:t>
      </w:r>
    </w:p>
    <w:p w:rsidR="004A2C64" w:rsidRDefault="00FE0731">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13.社会保障和就业支出（类）行政事业单位养老支出（款）机关事业单位基本养老保险缴费支出（项）：反映机关事业单位实施养老保险制度由单位缴纳的基本养老保险费支出。</w:t>
      </w:r>
    </w:p>
    <w:p w:rsidR="004A2C64" w:rsidRDefault="00FE0731">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14.社会保障和就业支出（类）行政事业单位养老支出（款）机关事业单位职业年金缴费支出（项）：反映机关事业单位实施养老保险制度由单位实际缴纳的职业年金支出。</w:t>
      </w:r>
    </w:p>
    <w:p w:rsidR="004A2C64" w:rsidRDefault="00FE0731">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15.社会保障和就业支出（类）抚恤（款）死亡抚恤（项）：反映按规定用于烈士和牺牲、病故人员家属的一次性和定期抚恤金、丧葬补助费以及烈士褒扬金。</w:t>
      </w:r>
    </w:p>
    <w:p w:rsidR="004A2C64" w:rsidRDefault="00FE0731">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16.卫生健康支出（类）行政事业单位医疗（款）事业单位医疗（项）：反映财政部门安排的事业单位基本医疗保险缴费经费，未参加医疗保险的事业单位的公费医疗经费，按国家规定享受离休人员待遇人员的医疗经费。</w:t>
      </w:r>
    </w:p>
    <w:p w:rsidR="004A2C64" w:rsidRDefault="004A2C64">
      <w:pPr>
        <w:rPr>
          <w:rFonts w:ascii="黑体" w:eastAsia="黑体"/>
          <w:sz w:val="32"/>
          <w:szCs w:val="32"/>
        </w:rPr>
      </w:pPr>
    </w:p>
    <w:p w:rsidR="004A2C64" w:rsidRDefault="004A2C64" w:rsidP="003B446C">
      <w:pPr>
        <w:pStyle w:val="a0"/>
        <w:ind w:firstLine="640"/>
        <w:rPr>
          <w:rFonts w:ascii="黑体" w:eastAsia="黑体"/>
          <w:sz w:val="32"/>
          <w:szCs w:val="32"/>
        </w:rPr>
      </w:pPr>
    </w:p>
    <w:p w:rsidR="004A2C64" w:rsidRDefault="004A2C64" w:rsidP="003B446C">
      <w:pPr>
        <w:pStyle w:val="a0"/>
        <w:ind w:firstLine="640"/>
        <w:rPr>
          <w:rFonts w:ascii="黑体" w:eastAsia="黑体"/>
          <w:sz w:val="32"/>
          <w:szCs w:val="32"/>
        </w:rPr>
      </w:pPr>
    </w:p>
    <w:p w:rsidR="004A2C64" w:rsidRDefault="004A2C64" w:rsidP="003B446C">
      <w:pPr>
        <w:pStyle w:val="a0"/>
        <w:ind w:firstLine="640"/>
        <w:rPr>
          <w:rFonts w:ascii="黑体" w:eastAsia="黑体"/>
          <w:sz w:val="32"/>
          <w:szCs w:val="32"/>
        </w:rPr>
      </w:pPr>
    </w:p>
    <w:p w:rsidR="00291118" w:rsidRDefault="00291118">
      <w:pPr>
        <w:ind w:firstLineChars="200" w:firstLine="640"/>
        <w:jc w:val="center"/>
        <w:rPr>
          <w:rFonts w:ascii="黑体" w:eastAsia="黑体"/>
          <w:sz w:val="32"/>
          <w:szCs w:val="32"/>
        </w:rPr>
      </w:pPr>
    </w:p>
    <w:p w:rsidR="000D7AF1" w:rsidRDefault="000D7AF1">
      <w:pPr>
        <w:ind w:firstLineChars="200" w:firstLine="640"/>
        <w:jc w:val="center"/>
        <w:rPr>
          <w:rFonts w:ascii="黑体" w:eastAsia="黑体"/>
          <w:sz w:val="32"/>
          <w:szCs w:val="32"/>
        </w:rPr>
      </w:pPr>
    </w:p>
    <w:p w:rsidR="004A2C64" w:rsidRDefault="00FE0731">
      <w:pPr>
        <w:ind w:firstLineChars="200" w:firstLine="640"/>
        <w:jc w:val="center"/>
        <w:rPr>
          <w:rFonts w:ascii="黑体" w:eastAsia="黑体"/>
          <w:sz w:val="32"/>
          <w:szCs w:val="32"/>
        </w:rPr>
      </w:pPr>
      <w:r>
        <w:rPr>
          <w:rFonts w:ascii="黑体" w:eastAsia="黑体" w:hint="eastAsia"/>
          <w:sz w:val="32"/>
          <w:szCs w:val="32"/>
        </w:rPr>
        <w:t>第四部分  2023年度绩效评价情况</w:t>
      </w:r>
    </w:p>
    <w:p w:rsidR="004A2C64" w:rsidRDefault="004A2C64">
      <w:pPr>
        <w:ind w:firstLineChars="200" w:firstLine="560"/>
        <w:rPr>
          <w:rFonts w:ascii="黑体" w:eastAsia="黑体"/>
          <w:sz w:val="28"/>
          <w:szCs w:val="28"/>
          <w:highlight w:val="yellow"/>
        </w:rPr>
      </w:pPr>
    </w:p>
    <w:p w:rsidR="004A2C64" w:rsidRDefault="00FE0731">
      <w:pPr>
        <w:ind w:firstLineChars="200" w:firstLine="560"/>
        <w:rPr>
          <w:rFonts w:ascii="黑体" w:eastAsia="黑体"/>
          <w:sz w:val="28"/>
          <w:szCs w:val="28"/>
        </w:rPr>
      </w:pPr>
      <w:r>
        <w:rPr>
          <w:rFonts w:ascii="黑体" w:eastAsia="黑体" w:hint="eastAsia"/>
          <w:sz w:val="28"/>
          <w:szCs w:val="28"/>
        </w:rPr>
        <w:t>一、项目</w:t>
      </w:r>
      <w:r>
        <w:rPr>
          <w:rFonts w:ascii="黑体" w:eastAsia="黑体"/>
          <w:sz w:val="28"/>
          <w:szCs w:val="28"/>
        </w:rPr>
        <w:t>支出绩效自评表</w:t>
      </w:r>
      <w:r>
        <w:rPr>
          <w:rFonts w:ascii="黑体" w:eastAsia="黑体" w:hint="eastAsia"/>
          <w:sz w:val="28"/>
          <w:szCs w:val="28"/>
        </w:rPr>
        <w:t xml:space="preserve">  （详见附件）</w:t>
      </w:r>
    </w:p>
    <w:p w:rsidR="004A2C64" w:rsidRDefault="004A2C64">
      <w:pPr>
        <w:pStyle w:val="2"/>
        <w:ind w:firstLine="560"/>
      </w:pPr>
    </w:p>
    <w:p w:rsidR="004A2C64" w:rsidRDefault="004A2C64"/>
    <w:p w:rsidR="004A2C64" w:rsidRDefault="004A2C64">
      <w:pPr>
        <w:pStyle w:val="2"/>
      </w:pPr>
    </w:p>
    <w:p w:rsidR="004A2C64" w:rsidRDefault="004A2C64"/>
    <w:sectPr w:rsidR="004A2C64">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A5A" w:rsidRDefault="00956A5A">
      <w:r>
        <w:separator/>
      </w:r>
    </w:p>
  </w:endnote>
  <w:endnote w:type="continuationSeparator" w:id="0">
    <w:p w:rsidR="00956A5A" w:rsidRDefault="00956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C64" w:rsidRDefault="00FE0731">
    <w:pPr>
      <w:pStyle w:val="a7"/>
      <w:framePr w:wrap="around" w:vAnchor="text" w:hAnchor="margin" w:xAlign="center" w:y="1"/>
      <w:rPr>
        <w:rStyle w:val="ab"/>
      </w:rPr>
    </w:pPr>
    <w:r>
      <w:fldChar w:fldCharType="begin"/>
    </w:r>
    <w:r>
      <w:rPr>
        <w:rStyle w:val="ab"/>
      </w:rPr>
      <w:instrText xml:space="preserve">PAGE  </w:instrText>
    </w:r>
    <w:r>
      <w:fldChar w:fldCharType="separate"/>
    </w:r>
    <w:r w:rsidR="007260D5">
      <w:rPr>
        <w:rStyle w:val="ab"/>
        <w:noProof/>
      </w:rPr>
      <w:t>3</w:t>
    </w:r>
    <w:r>
      <w:fldChar w:fldCharType="end"/>
    </w:r>
  </w:p>
  <w:p w:rsidR="004A2C64" w:rsidRDefault="004A2C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C64" w:rsidRDefault="00FE0731">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4A2C64" w:rsidRDefault="004A2C6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C64" w:rsidRDefault="00FE0731">
    <w:pPr>
      <w:pStyle w:val="a7"/>
      <w:framePr w:wrap="around" w:vAnchor="text" w:hAnchor="margin" w:xAlign="center" w:y="1"/>
      <w:rPr>
        <w:rStyle w:val="ab"/>
      </w:rPr>
    </w:pPr>
    <w:r>
      <w:fldChar w:fldCharType="begin"/>
    </w:r>
    <w:r>
      <w:rPr>
        <w:rStyle w:val="ab"/>
      </w:rPr>
      <w:instrText xml:space="preserve">PAGE  </w:instrText>
    </w:r>
    <w:r>
      <w:fldChar w:fldCharType="separate"/>
    </w:r>
    <w:r w:rsidR="008A47C3">
      <w:rPr>
        <w:rStyle w:val="ab"/>
        <w:noProof/>
      </w:rPr>
      <w:t>4</w:t>
    </w:r>
    <w:r>
      <w:fldChar w:fldCharType="end"/>
    </w:r>
  </w:p>
  <w:p w:rsidR="004A2C64" w:rsidRDefault="004A2C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A5A" w:rsidRDefault="00956A5A">
      <w:r>
        <w:separator/>
      </w:r>
    </w:p>
  </w:footnote>
  <w:footnote w:type="continuationSeparator" w:id="0">
    <w:p w:rsidR="00956A5A" w:rsidRDefault="00956A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5DB4DD"/>
    <w:multiLevelType w:val="singleLevel"/>
    <w:tmpl w:val="F15DB4DD"/>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BEF0581"/>
    <w:rsid w:val="AC5F73DE"/>
    <w:rsid w:val="B5DDD2C8"/>
    <w:rsid w:val="B9DFABD9"/>
    <w:rsid w:val="BC0D83FC"/>
    <w:rsid w:val="BC5FC7FE"/>
    <w:rsid w:val="BCEF3D2D"/>
    <w:rsid w:val="BF3BDEFB"/>
    <w:rsid w:val="C2FFB953"/>
    <w:rsid w:val="C75F6086"/>
    <w:rsid w:val="C7F7ED2D"/>
    <w:rsid w:val="CF7FBF29"/>
    <w:rsid w:val="CFAF854E"/>
    <w:rsid w:val="D347397E"/>
    <w:rsid w:val="D77FD146"/>
    <w:rsid w:val="D8D7928E"/>
    <w:rsid w:val="D8FE3136"/>
    <w:rsid w:val="DDDE60B7"/>
    <w:rsid w:val="DE9F6A22"/>
    <w:rsid w:val="DF4FCE6A"/>
    <w:rsid w:val="E4FED278"/>
    <w:rsid w:val="EDAA365C"/>
    <w:rsid w:val="EDADFC12"/>
    <w:rsid w:val="F2FD229B"/>
    <w:rsid w:val="F5E5BAD7"/>
    <w:rsid w:val="F6F74867"/>
    <w:rsid w:val="F7F709E9"/>
    <w:rsid w:val="F7FF3690"/>
    <w:rsid w:val="F9BD3900"/>
    <w:rsid w:val="FC8B9876"/>
    <w:rsid w:val="FDEBC814"/>
    <w:rsid w:val="FDFEF478"/>
    <w:rsid w:val="FEDFF218"/>
    <w:rsid w:val="FEDFFFFF"/>
    <w:rsid w:val="FEFDAE2E"/>
    <w:rsid w:val="FEFFFF52"/>
    <w:rsid w:val="FFB72812"/>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C58B0"/>
    <w:rsid w:val="000D1B61"/>
    <w:rsid w:val="000D6854"/>
    <w:rsid w:val="000D7AF1"/>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18"/>
    <w:rsid w:val="002911BD"/>
    <w:rsid w:val="00291C98"/>
    <w:rsid w:val="00294DE9"/>
    <w:rsid w:val="002A1488"/>
    <w:rsid w:val="002A4C2B"/>
    <w:rsid w:val="002B19D0"/>
    <w:rsid w:val="002B3682"/>
    <w:rsid w:val="002B5464"/>
    <w:rsid w:val="002C0443"/>
    <w:rsid w:val="002C12FB"/>
    <w:rsid w:val="002C24BC"/>
    <w:rsid w:val="002D03C6"/>
    <w:rsid w:val="002D0F04"/>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2281"/>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46C"/>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2C64"/>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24FE6"/>
    <w:rsid w:val="005346B3"/>
    <w:rsid w:val="0054051C"/>
    <w:rsid w:val="00546A84"/>
    <w:rsid w:val="00547BE2"/>
    <w:rsid w:val="0055353D"/>
    <w:rsid w:val="00553B75"/>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260D5"/>
    <w:rsid w:val="007428F0"/>
    <w:rsid w:val="007512EF"/>
    <w:rsid w:val="007551AC"/>
    <w:rsid w:val="0076101C"/>
    <w:rsid w:val="00763D87"/>
    <w:rsid w:val="007670B2"/>
    <w:rsid w:val="00771795"/>
    <w:rsid w:val="00774925"/>
    <w:rsid w:val="00783D40"/>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045"/>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42AE"/>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0A89"/>
    <w:rsid w:val="008A47C3"/>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1EF2"/>
    <w:rsid w:val="00927892"/>
    <w:rsid w:val="009319B9"/>
    <w:rsid w:val="009351E9"/>
    <w:rsid w:val="00937862"/>
    <w:rsid w:val="00942279"/>
    <w:rsid w:val="009524EB"/>
    <w:rsid w:val="00956A5A"/>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9F7D87"/>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AF4A4C"/>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28D0"/>
    <w:rsid w:val="00B960F3"/>
    <w:rsid w:val="00B96A31"/>
    <w:rsid w:val="00BA05E6"/>
    <w:rsid w:val="00BA51B0"/>
    <w:rsid w:val="00BA6319"/>
    <w:rsid w:val="00BC0174"/>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5C43"/>
    <w:rsid w:val="00D2601F"/>
    <w:rsid w:val="00D27759"/>
    <w:rsid w:val="00D30028"/>
    <w:rsid w:val="00D325D3"/>
    <w:rsid w:val="00D408D6"/>
    <w:rsid w:val="00D511DD"/>
    <w:rsid w:val="00D55C2A"/>
    <w:rsid w:val="00D571C1"/>
    <w:rsid w:val="00D602F4"/>
    <w:rsid w:val="00D6457E"/>
    <w:rsid w:val="00D742E2"/>
    <w:rsid w:val="00D7580E"/>
    <w:rsid w:val="00D87DAF"/>
    <w:rsid w:val="00D9352E"/>
    <w:rsid w:val="00D9446D"/>
    <w:rsid w:val="00DA2994"/>
    <w:rsid w:val="00DB08E8"/>
    <w:rsid w:val="00DB0DED"/>
    <w:rsid w:val="00DB3073"/>
    <w:rsid w:val="00DB3BA9"/>
    <w:rsid w:val="00DB50FE"/>
    <w:rsid w:val="00DB5EDA"/>
    <w:rsid w:val="00DB7ABB"/>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0F5"/>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4766"/>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65E"/>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18A3"/>
    <w:rsid w:val="00FD2232"/>
    <w:rsid w:val="00FD4AE7"/>
    <w:rsid w:val="00FD65A9"/>
    <w:rsid w:val="00FD7508"/>
    <w:rsid w:val="00FE0731"/>
    <w:rsid w:val="00FE1E51"/>
    <w:rsid w:val="00FE2496"/>
    <w:rsid w:val="00FE6A2B"/>
    <w:rsid w:val="00FF0275"/>
    <w:rsid w:val="00FF07B3"/>
    <w:rsid w:val="00FF1E37"/>
    <w:rsid w:val="079004AC"/>
    <w:rsid w:val="0BA148CA"/>
    <w:rsid w:val="0DD136FE"/>
    <w:rsid w:val="0F8E2C57"/>
    <w:rsid w:val="1059665E"/>
    <w:rsid w:val="10AC13BA"/>
    <w:rsid w:val="1AEC0734"/>
    <w:rsid w:val="1DEF20B0"/>
    <w:rsid w:val="1EBF467B"/>
    <w:rsid w:val="1F9D495C"/>
    <w:rsid w:val="214243FA"/>
    <w:rsid w:val="21AD613C"/>
    <w:rsid w:val="257A14F5"/>
    <w:rsid w:val="27196C26"/>
    <w:rsid w:val="29EF086F"/>
    <w:rsid w:val="2D5FF65F"/>
    <w:rsid w:val="2EFFE297"/>
    <w:rsid w:val="301437CA"/>
    <w:rsid w:val="349D1F0A"/>
    <w:rsid w:val="34DD0473"/>
    <w:rsid w:val="37BF1ED2"/>
    <w:rsid w:val="3DE63639"/>
    <w:rsid w:val="433E495C"/>
    <w:rsid w:val="4AC27CB3"/>
    <w:rsid w:val="4BF72BEF"/>
    <w:rsid w:val="51DB3C59"/>
    <w:rsid w:val="550C0952"/>
    <w:rsid w:val="55762E42"/>
    <w:rsid w:val="57A7B272"/>
    <w:rsid w:val="58470068"/>
    <w:rsid w:val="5A1720F9"/>
    <w:rsid w:val="5B9C37C2"/>
    <w:rsid w:val="5BA7C654"/>
    <w:rsid w:val="5DBF4B16"/>
    <w:rsid w:val="64C0607C"/>
    <w:rsid w:val="666F4CB7"/>
    <w:rsid w:val="676F09E1"/>
    <w:rsid w:val="6FEFB508"/>
    <w:rsid w:val="77FFDA35"/>
    <w:rsid w:val="7A7F1C49"/>
    <w:rsid w:val="7B5B7AE6"/>
    <w:rsid w:val="7BA7071E"/>
    <w:rsid w:val="7BDF6DA8"/>
    <w:rsid w:val="7BFBE529"/>
    <w:rsid w:val="7C7EDC1A"/>
    <w:rsid w:val="7CCED98D"/>
    <w:rsid w:val="7D08410F"/>
    <w:rsid w:val="7DB96DED"/>
    <w:rsid w:val="7DD3AD81"/>
    <w:rsid w:val="7E3F5078"/>
    <w:rsid w:val="7EE75B01"/>
    <w:rsid w:val="7EFD1C83"/>
    <w:rsid w:val="7F7FE70F"/>
    <w:rsid w:val="7FE6953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0"/>
              <c:tx>
                <c:rich>
                  <a:bodyPr/>
                  <a:lstStyle/>
                  <a:p>
                    <a:r>
                      <a:rPr lang="en-US" altLang="zh-CN"/>
                      <a:t>47.31%</a:t>
                    </a:r>
                  </a:p>
                </c:rich>
              </c:tx>
              <c:dLblPos val="outEnd"/>
              <c:showLegendKey val="0"/>
              <c:showVal val="0"/>
              <c:showCatName val="0"/>
              <c:showSerName val="0"/>
              <c:showPercent val="1"/>
              <c:showBubbleSize val="0"/>
              <c:extLst>
                <c:ext xmlns:c15="http://schemas.microsoft.com/office/drawing/2012/chart" uri="{CE6537A1-D6FC-4f65-9D91-7224C49458BB}"/>
              </c:extLst>
            </c:dLbl>
            <c:dLbl>
              <c:idx val="1"/>
              <c:layout>
                <c:manualLayout>
                  <c:x val="-8.2586125530910798E-2"/>
                  <c:y val="-2.45432233433324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4.2472864558754098E-2"/>
                  <c:y val="-4.7330668932019697E-2"/>
                </c:manualLayout>
              </c:layout>
              <c:tx>
                <c:rich>
                  <a:bodyPr/>
                  <a:lstStyle/>
                  <a:p>
                    <a:r>
                      <a:rPr lang="en-US" altLang="zh-CN"/>
                      <a:t>1.48%</a:t>
                    </a:r>
                  </a:p>
                </c:rich>
              </c:tx>
              <c:dLblPos val="bestFit"/>
              <c:showLegendKey val="0"/>
              <c:showVal val="0"/>
              <c:showCatName val="0"/>
              <c:showSerName val="0"/>
              <c:showPercent val="1"/>
              <c:showBubbleSize val="0"/>
              <c:extLst>
                <c:ext xmlns:c15="http://schemas.microsoft.com/office/drawing/2012/chart" uri="{CE6537A1-D6FC-4f65-9D91-7224C49458BB}">
                  <c15:layout>
                    <c:manualLayout>
                      <c:w val="0.163756488909863"/>
                      <c:h val="0.0899918189255522"/>
                    </c:manualLayout>
                  </c15:layout>
                </c:ext>
              </c:extLst>
            </c:dLbl>
            <c:dLbl>
              <c:idx val="3"/>
              <c:tx>
                <c:rich>
                  <a:bodyPr/>
                  <a:lstStyle/>
                  <a:p>
                    <a:r>
                      <a:rPr lang="en-US" altLang="zh-CN"/>
                      <a:t>50.62%</a:t>
                    </a:r>
                  </a:p>
                </c:rich>
              </c:tx>
              <c:dLblPos val="out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7648.88</c:v>
                </c:pt>
                <c:pt idx="1">
                  <c:v>0</c:v>
                </c:pt>
                <c:pt idx="2">
                  <c:v>238.47</c:v>
                </c:pt>
                <c:pt idx="3">
                  <c:v>8182.94</c:v>
                </c:pt>
                <c:pt idx="4">
                  <c:v>0</c:v>
                </c:pt>
                <c:pt idx="5">
                  <c:v>96.04</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tx>
                <c:rich>
                  <a:bodyPr/>
                  <a:lstStyle/>
                  <a:p>
                    <a:r>
                      <a:rPr lang="en-US" altLang="zh-CN"/>
                      <a:t>49.26%</a:t>
                    </a:r>
                  </a:p>
                </c:rich>
              </c:tx>
              <c:dLblPos val="bestFit"/>
              <c:showLegendKey val="0"/>
              <c:showVal val="0"/>
              <c:showCatName val="0"/>
              <c:showSerName val="0"/>
              <c:showPercent val="1"/>
              <c:showBubbleSize val="0"/>
              <c:extLst>
                <c:ext xmlns:c15="http://schemas.microsoft.com/office/drawing/2012/chart" uri="{CE6537A1-D6FC-4f65-9D91-7224C49458BB}"/>
              </c:extLst>
            </c:dLbl>
            <c:dLbl>
              <c:idx val="1"/>
              <c:tx>
                <c:rich>
                  <a:bodyPr/>
                  <a:lstStyle/>
                  <a:p>
                    <a:r>
                      <a:rPr lang="en-US" altLang="zh-CN"/>
                      <a:t>33.31%</a:t>
                    </a:r>
                  </a:p>
                </c:rich>
              </c:tx>
              <c:dLblPos val="bestFit"/>
              <c:showLegendKey val="0"/>
              <c:showVal val="0"/>
              <c:showCatName val="0"/>
              <c:showSerName val="0"/>
              <c:showPercent val="1"/>
              <c:showBubbleSize val="0"/>
              <c:extLst>
                <c:ext xmlns:c15="http://schemas.microsoft.com/office/drawing/2012/chart" uri="{CE6537A1-D6FC-4f65-9D91-7224C49458BB}"/>
              </c:extLst>
            </c:dLbl>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5302.06</c:v>
                </c:pt>
                <c:pt idx="1">
                  <c:v>3585.37</c:v>
                </c:pt>
                <c:pt idx="2">
                  <c:v>0</c:v>
                </c:pt>
                <c:pt idx="3">
                  <c:v>1875.15</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793</Words>
  <Characters>4523</Characters>
  <Application>Microsoft Office Word</Application>
  <DocSecurity>0</DocSecurity>
  <Lines>37</Lines>
  <Paragraphs>10</Paragraphs>
  <ScaleCrop>false</ScaleCrop>
  <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47</cp:revision>
  <cp:lastPrinted>2020-08-08T03:39:00Z</cp:lastPrinted>
  <dcterms:created xsi:type="dcterms:W3CDTF">2017-07-12T07:16:00Z</dcterms:created>
  <dcterms:modified xsi:type="dcterms:W3CDTF">2024-09-11T05:26:00Z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435078ACFECC4A5A8A519EF4C3681114_13</vt:lpwstr>
  </property>
</Properties>
</file>