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D9" w:rsidRDefault="00290AD9">
      <w:pPr>
        <w:jc w:val="center"/>
        <w:rPr>
          <w:rFonts w:ascii="仿宋_GB2312" w:eastAsia="仿宋_GB2312" w:hint="eastAsia"/>
          <w:b/>
          <w:sz w:val="32"/>
          <w:szCs w:val="32"/>
        </w:rPr>
      </w:pPr>
    </w:p>
    <w:p w:rsidR="00290AD9" w:rsidRDefault="00290AD9">
      <w:pPr>
        <w:jc w:val="center"/>
        <w:rPr>
          <w:rFonts w:ascii="黑体" w:eastAsia="黑体"/>
          <w:sz w:val="72"/>
          <w:szCs w:val="72"/>
        </w:rPr>
      </w:pPr>
    </w:p>
    <w:p w:rsidR="00290AD9" w:rsidRDefault="00290AD9">
      <w:pPr>
        <w:jc w:val="center"/>
        <w:rPr>
          <w:rFonts w:ascii="黑体" w:eastAsia="黑体"/>
          <w:sz w:val="72"/>
          <w:szCs w:val="72"/>
        </w:rPr>
      </w:pPr>
    </w:p>
    <w:p w:rsidR="00290AD9" w:rsidRDefault="00290AD9">
      <w:pPr>
        <w:jc w:val="center"/>
        <w:rPr>
          <w:rFonts w:ascii="黑体" w:eastAsia="黑体"/>
          <w:sz w:val="72"/>
          <w:szCs w:val="72"/>
        </w:rPr>
      </w:pPr>
    </w:p>
    <w:p w:rsidR="00290AD9" w:rsidRDefault="00290AD9">
      <w:pPr>
        <w:jc w:val="center"/>
        <w:rPr>
          <w:rFonts w:ascii="黑体" w:eastAsia="黑体"/>
          <w:sz w:val="72"/>
          <w:szCs w:val="72"/>
        </w:rPr>
      </w:pPr>
    </w:p>
    <w:p w:rsidR="00290AD9" w:rsidRDefault="007D2DC4">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年度决算</w:t>
      </w:r>
      <w:r>
        <w:rPr>
          <w:rFonts w:ascii="黑体" w:eastAsia="黑体" w:hint="eastAsia"/>
          <w:sz w:val="72"/>
          <w:szCs w:val="72"/>
        </w:rPr>
        <w:t>公开</w:t>
      </w:r>
    </w:p>
    <w:p w:rsidR="00290AD9" w:rsidRDefault="00290AD9" w:rsidP="00C3141D">
      <w:pPr>
        <w:pStyle w:val="a0"/>
        <w:ind w:firstLine="1440"/>
        <w:rPr>
          <w:rFonts w:ascii="黑体" w:eastAsia="黑体"/>
          <w:sz w:val="72"/>
          <w:szCs w:val="72"/>
        </w:rPr>
      </w:pPr>
    </w:p>
    <w:p w:rsidR="00290AD9" w:rsidRDefault="007D2DC4">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北京市药品监督管理局综合事务中心</w:t>
      </w:r>
    </w:p>
    <w:p w:rsidR="00290AD9" w:rsidRDefault="00290AD9" w:rsidP="00C3141D">
      <w:pPr>
        <w:pStyle w:val="a0"/>
        <w:ind w:firstLine="420"/>
        <w:jc w:val="center"/>
      </w:pPr>
    </w:p>
    <w:p w:rsidR="00290AD9" w:rsidRDefault="00290AD9">
      <w:pPr>
        <w:jc w:val="center"/>
        <w:rPr>
          <w:rFonts w:ascii="黑体" w:eastAsia="黑体"/>
          <w:sz w:val="52"/>
          <w:szCs w:val="52"/>
        </w:rPr>
      </w:pPr>
    </w:p>
    <w:p w:rsidR="00290AD9" w:rsidRDefault="00290AD9">
      <w:pPr>
        <w:jc w:val="center"/>
        <w:rPr>
          <w:rFonts w:ascii="黑体" w:eastAsia="黑体"/>
          <w:sz w:val="52"/>
          <w:szCs w:val="52"/>
        </w:rPr>
      </w:pPr>
    </w:p>
    <w:p w:rsidR="00290AD9" w:rsidRDefault="00290AD9">
      <w:pPr>
        <w:jc w:val="center"/>
        <w:rPr>
          <w:rFonts w:ascii="黑体" w:eastAsia="黑体"/>
          <w:sz w:val="32"/>
          <w:szCs w:val="32"/>
        </w:rPr>
      </w:pPr>
    </w:p>
    <w:p w:rsidR="00290AD9" w:rsidRDefault="007D2DC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290AD9" w:rsidRDefault="00290AD9">
      <w:pPr>
        <w:spacing w:line="500" w:lineRule="exact"/>
        <w:ind w:firstLine="645"/>
        <w:jc w:val="center"/>
        <w:rPr>
          <w:rFonts w:ascii="宋体" w:hAnsi="宋体" w:cs="宋体"/>
          <w:b/>
          <w:bCs/>
          <w:kern w:val="0"/>
          <w:sz w:val="36"/>
          <w:szCs w:val="36"/>
        </w:rPr>
      </w:pPr>
    </w:p>
    <w:p w:rsidR="00290AD9" w:rsidRDefault="007D2DC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年度决算报表</w:t>
      </w:r>
    </w:p>
    <w:p w:rsidR="00290AD9" w:rsidRDefault="007D2DC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290AD9" w:rsidRDefault="007D2DC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290AD9" w:rsidRDefault="007D2DC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年度决算说明</w:t>
      </w:r>
    </w:p>
    <w:p w:rsidR="00290AD9" w:rsidRDefault="007D2DC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290AD9" w:rsidRDefault="007D2DC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年度绩效评价情况</w:t>
      </w:r>
    </w:p>
    <w:p w:rsidR="00290AD9" w:rsidRDefault="00290AD9">
      <w:pPr>
        <w:tabs>
          <w:tab w:val="center" w:pos="6979"/>
        </w:tabs>
        <w:spacing w:beforeLines="50" w:before="156" w:afterLines="50" w:after="156"/>
        <w:jc w:val="center"/>
        <w:rPr>
          <w:rFonts w:ascii="宋体" w:hAnsi="宋体" w:cs="宋体"/>
          <w:b/>
          <w:bCs/>
          <w:spacing w:val="40"/>
          <w:kern w:val="0"/>
          <w:sz w:val="32"/>
          <w:szCs w:val="32"/>
        </w:rPr>
      </w:pPr>
    </w:p>
    <w:p w:rsidR="00290AD9" w:rsidRDefault="00290AD9">
      <w:pPr>
        <w:tabs>
          <w:tab w:val="center" w:pos="6979"/>
        </w:tabs>
        <w:spacing w:beforeLines="50" w:before="156" w:afterLines="50" w:after="156"/>
        <w:jc w:val="center"/>
        <w:rPr>
          <w:rFonts w:ascii="宋体" w:hAnsi="宋体" w:cs="宋体"/>
          <w:b/>
          <w:bCs/>
          <w:spacing w:val="40"/>
          <w:kern w:val="0"/>
          <w:sz w:val="32"/>
          <w:szCs w:val="32"/>
        </w:rPr>
      </w:pPr>
    </w:p>
    <w:p w:rsidR="00290AD9" w:rsidRDefault="00290AD9">
      <w:pPr>
        <w:tabs>
          <w:tab w:val="center" w:pos="6979"/>
        </w:tabs>
        <w:spacing w:beforeLines="50" w:before="156" w:afterLines="50" w:after="156"/>
        <w:jc w:val="center"/>
        <w:rPr>
          <w:rFonts w:ascii="宋体" w:hAnsi="宋体" w:cs="宋体"/>
          <w:b/>
          <w:bCs/>
          <w:spacing w:val="40"/>
          <w:kern w:val="0"/>
          <w:sz w:val="32"/>
          <w:szCs w:val="32"/>
        </w:rPr>
      </w:pPr>
    </w:p>
    <w:p w:rsidR="00290AD9" w:rsidRDefault="00290AD9">
      <w:pPr>
        <w:tabs>
          <w:tab w:val="center" w:pos="6979"/>
        </w:tabs>
        <w:spacing w:beforeLines="50" w:before="156" w:afterLines="50" w:after="156"/>
        <w:jc w:val="center"/>
        <w:rPr>
          <w:rFonts w:ascii="宋体" w:hAnsi="宋体" w:cs="宋体"/>
          <w:b/>
          <w:bCs/>
          <w:spacing w:val="40"/>
          <w:kern w:val="0"/>
          <w:sz w:val="32"/>
          <w:szCs w:val="32"/>
        </w:rPr>
      </w:pPr>
    </w:p>
    <w:p w:rsidR="00290AD9" w:rsidRDefault="00290AD9">
      <w:pPr>
        <w:tabs>
          <w:tab w:val="center" w:pos="6979"/>
        </w:tabs>
        <w:spacing w:beforeLines="50" w:before="156" w:afterLines="50" w:after="156"/>
        <w:jc w:val="center"/>
        <w:rPr>
          <w:rFonts w:ascii="宋体" w:hAnsi="宋体" w:cs="宋体"/>
          <w:b/>
          <w:bCs/>
          <w:spacing w:val="40"/>
          <w:kern w:val="0"/>
          <w:sz w:val="32"/>
          <w:szCs w:val="32"/>
        </w:rPr>
      </w:pPr>
    </w:p>
    <w:p w:rsidR="00290AD9" w:rsidRDefault="007D2DC4">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年度决算报表</w:t>
      </w:r>
    </w:p>
    <w:p w:rsidR="00290AD9" w:rsidRDefault="007D2DC4">
      <w:pPr>
        <w:pStyle w:val="2"/>
        <w:rPr>
          <w:b w:val="0"/>
          <w:bCs w:val="0"/>
        </w:rPr>
        <w:sectPr w:rsidR="00290AD9">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90AD9" w:rsidRDefault="007D2DC4">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年度决算说明</w:t>
      </w:r>
    </w:p>
    <w:p w:rsidR="00290AD9" w:rsidRDefault="007D2DC4" w:rsidP="00C3141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290AD9" w:rsidRDefault="007D2DC4">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根据《中共北京市委机构编制委员会关于市市场监督管理局和市药监局所属事业单位改革有关事项的批复》（京编委</w:t>
      </w:r>
      <w:r>
        <w:rPr>
          <w:rFonts w:ascii="仿宋_GB2312" w:eastAsia="仿宋_GB2312" w:hint="eastAsia"/>
          <w:sz w:val="28"/>
          <w:szCs w:val="28"/>
        </w:rPr>
        <w:t>[2021]137</w:t>
      </w:r>
      <w:r>
        <w:rPr>
          <w:rFonts w:ascii="仿宋_GB2312" w:eastAsia="仿宋_GB2312" w:hint="eastAsia"/>
          <w:sz w:val="28"/>
          <w:szCs w:val="28"/>
        </w:rPr>
        <w:t>号）成立北京市药品监督管理局综合事务中心，为北京市药品监督管理局直属事业单位。主要职责：</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）承担对接上级机关事务管理部门相关工作，</w:t>
      </w:r>
      <w:proofErr w:type="gramStart"/>
      <w:r>
        <w:rPr>
          <w:rFonts w:ascii="仿宋_GB2312" w:eastAsia="仿宋_GB2312" w:hint="eastAsia"/>
          <w:sz w:val="28"/>
          <w:szCs w:val="28"/>
        </w:rPr>
        <w:t>指导全</w:t>
      </w:r>
      <w:proofErr w:type="gramEnd"/>
      <w:r>
        <w:rPr>
          <w:rFonts w:ascii="仿宋_GB2312" w:eastAsia="仿宋_GB2312" w:hint="eastAsia"/>
          <w:sz w:val="28"/>
          <w:szCs w:val="28"/>
        </w:rPr>
        <w:t>系统公务车辆、办公用房、后勤管理工作；</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w:t>
      </w:r>
      <w:proofErr w:type="gramStart"/>
      <w:r>
        <w:rPr>
          <w:rFonts w:ascii="仿宋_GB2312" w:eastAsia="仿宋_GB2312" w:hint="eastAsia"/>
          <w:sz w:val="28"/>
          <w:szCs w:val="28"/>
        </w:rPr>
        <w:t>承担市药监</w:t>
      </w:r>
      <w:proofErr w:type="gramEnd"/>
      <w:r>
        <w:rPr>
          <w:rFonts w:ascii="仿宋_GB2312" w:eastAsia="仿宋_GB2312" w:hint="eastAsia"/>
          <w:sz w:val="28"/>
          <w:szCs w:val="28"/>
        </w:rPr>
        <w:t>局机关公务车辆、固定资产实物、办公用房管理，会议服务、报刊订阅收发、值班室保障、内保等管理工作；</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w:t>
      </w:r>
      <w:proofErr w:type="gramStart"/>
      <w:r>
        <w:rPr>
          <w:rFonts w:ascii="仿宋_GB2312" w:eastAsia="仿宋_GB2312" w:hint="eastAsia"/>
          <w:sz w:val="28"/>
          <w:szCs w:val="28"/>
        </w:rPr>
        <w:t>承担市药监</w:t>
      </w:r>
      <w:proofErr w:type="gramEnd"/>
      <w:r>
        <w:rPr>
          <w:rFonts w:ascii="仿宋_GB2312" w:eastAsia="仿宋_GB2312" w:hint="eastAsia"/>
          <w:sz w:val="28"/>
          <w:szCs w:val="28"/>
        </w:rPr>
        <w:t>局机关离退休干部服务管理工作；</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w:t>
      </w:r>
      <w:proofErr w:type="gramStart"/>
      <w:r>
        <w:rPr>
          <w:rFonts w:ascii="仿宋_GB2312" w:eastAsia="仿宋_GB2312" w:hint="eastAsia"/>
          <w:sz w:val="28"/>
          <w:szCs w:val="28"/>
        </w:rPr>
        <w:t>承办市药监</w:t>
      </w:r>
      <w:proofErr w:type="gramEnd"/>
      <w:r>
        <w:rPr>
          <w:rFonts w:ascii="仿宋_GB2312" w:eastAsia="仿宋_GB2312" w:hint="eastAsia"/>
          <w:sz w:val="28"/>
          <w:szCs w:val="28"/>
        </w:rPr>
        <w:t>局交办的其他事项。</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w:t>
      </w:r>
      <w:r>
        <w:rPr>
          <w:rFonts w:ascii="仿宋_GB2312" w:eastAsia="仿宋_GB2312" w:hint="eastAsia"/>
          <w:sz w:val="28"/>
          <w:szCs w:val="28"/>
        </w:rPr>
        <w:t>品监督管理局综合事务中心根据上述职责，设置</w:t>
      </w:r>
      <w:r>
        <w:rPr>
          <w:rFonts w:ascii="仿宋_GB2312" w:eastAsia="仿宋_GB2312" w:hint="eastAsia"/>
          <w:sz w:val="28"/>
          <w:szCs w:val="28"/>
        </w:rPr>
        <w:t>3</w:t>
      </w:r>
      <w:r>
        <w:rPr>
          <w:rFonts w:ascii="仿宋_GB2312" w:eastAsia="仿宋_GB2312" w:hint="eastAsia"/>
          <w:sz w:val="28"/>
          <w:szCs w:val="28"/>
        </w:rPr>
        <w:t>个内设机构：综合科、服务保障科、老干部工作科。</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北京市药品监督管理局综合事务中心无下属单位。</w:t>
      </w:r>
    </w:p>
    <w:p w:rsidR="00290AD9" w:rsidRDefault="007D2DC4">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290AD9" w:rsidRDefault="007D2DC4">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w:t>
      </w:r>
      <w:r>
        <w:rPr>
          <w:rFonts w:ascii="仿宋_GB2312" w:eastAsia="仿宋_GB2312" w:hint="eastAsia"/>
          <w:kern w:val="0"/>
          <w:sz w:val="28"/>
          <w:szCs w:val="28"/>
        </w:rPr>
        <w:t>14</w:t>
      </w:r>
      <w:r>
        <w:rPr>
          <w:rFonts w:ascii="仿宋_GB2312" w:eastAsia="仿宋_GB2312" w:hint="eastAsia"/>
          <w:kern w:val="0"/>
          <w:sz w:val="28"/>
          <w:szCs w:val="28"/>
        </w:rPr>
        <w:t>人，实有人数</w:t>
      </w:r>
      <w:r>
        <w:rPr>
          <w:rFonts w:ascii="仿宋_GB2312" w:eastAsia="仿宋_GB2312" w:hint="eastAsia"/>
          <w:kern w:val="0"/>
          <w:sz w:val="28"/>
          <w:szCs w:val="28"/>
        </w:rPr>
        <w:t>13</w:t>
      </w:r>
      <w:r>
        <w:rPr>
          <w:rFonts w:ascii="仿宋_GB2312" w:eastAsia="仿宋_GB2312" w:hint="eastAsia"/>
          <w:kern w:val="0"/>
          <w:sz w:val="28"/>
          <w:szCs w:val="28"/>
        </w:rPr>
        <w:t>人。</w:t>
      </w:r>
    </w:p>
    <w:p w:rsidR="00290AD9" w:rsidRDefault="007D2DC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1042.5</w:t>
      </w:r>
      <w:r w:rsidR="00C3141D">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9.57</w:t>
      </w:r>
      <w:r>
        <w:rPr>
          <w:rFonts w:ascii="仿宋_GB2312" w:eastAsia="仿宋_GB2312" w:hint="eastAsia"/>
          <w:sz w:val="28"/>
          <w:szCs w:val="28"/>
        </w:rPr>
        <w:t>万元，下降</w:t>
      </w:r>
      <w:r>
        <w:rPr>
          <w:rFonts w:ascii="仿宋_GB2312" w:eastAsia="仿宋_GB2312" w:hint="eastAsia"/>
          <w:sz w:val="28"/>
          <w:szCs w:val="28"/>
        </w:rPr>
        <w:t>0.91%</w:t>
      </w:r>
      <w:r>
        <w:rPr>
          <w:rFonts w:ascii="仿宋_GB2312" w:eastAsia="仿宋_GB2312" w:hint="eastAsia"/>
          <w:sz w:val="28"/>
          <w:szCs w:val="28"/>
        </w:rPr>
        <w:t>。</w:t>
      </w:r>
    </w:p>
    <w:p w:rsidR="00290AD9" w:rsidRDefault="007D2DC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90AD9" w:rsidRDefault="007D2DC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年度本年收入合计</w:t>
      </w:r>
      <w:r>
        <w:rPr>
          <w:rFonts w:ascii="仿宋_GB2312" w:eastAsia="仿宋_GB2312"/>
          <w:sz w:val="28"/>
          <w:szCs w:val="28"/>
        </w:rPr>
        <w:t>1000.4</w:t>
      </w:r>
      <w:r w:rsidR="007362BA">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46.3</w:t>
      </w:r>
      <w:r>
        <w:rPr>
          <w:rFonts w:ascii="仿宋_GB2312" w:eastAsia="仿宋_GB2312" w:hint="eastAsia"/>
          <w:sz w:val="28"/>
          <w:szCs w:val="28"/>
        </w:rPr>
        <w:t>万元，下降</w:t>
      </w:r>
      <w:r>
        <w:rPr>
          <w:rFonts w:ascii="仿宋_GB2312" w:eastAsia="仿宋_GB2312" w:hint="eastAsia"/>
          <w:sz w:val="28"/>
          <w:szCs w:val="28"/>
        </w:rPr>
        <w:t>4.42%</w:t>
      </w:r>
      <w:r>
        <w:rPr>
          <w:rFonts w:ascii="仿宋_GB2312" w:eastAsia="仿宋_GB2312" w:hint="eastAsia"/>
          <w:sz w:val="28"/>
          <w:szCs w:val="28"/>
        </w:rPr>
        <w:t>。</w:t>
      </w:r>
    </w:p>
    <w:p w:rsidR="00290AD9" w:rsidRDefault="007D2DC4">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1000.4</w:t>
      </w:r>
      <w:r w:rsidR="007362BA">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1000.4</w:t>
      </w:r>
      <w:r w:rsidR="007362BA">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rsidP="00C3141D">
      <w:pPr>
        <w:tabs>
          <w:tab w:val="center" w:pos="6979"/>
        </w:tabs>
        <w:spacing w:line="580" w:lineRule="exact"/>
        <w:ind w:firstLineChars="200" w:firstLine="643"/>
        <w:jc w:val="center"/>
        <w:rPr>
          <w:rFonts w:ascii="仿宋_GB2312" w:eastAsia="仿宋_GB2312"/>
          <w:b/>
          <w:sz w:val="28"/>
          <w:szCs w:val="28"/>
        </w:rPr>
      </w:pPr>
      <w:r>
        <w:rPr>
          <w:rFonts w:ascii="仿宋_GB2312" w:eastAsia="仿宋_GB2312" w:hint="eastAsia"/>
          <w:b/>
          <w:color w:val="000000"/>
          <w:sz w:val="32"/>
        </w:rPr>
        <w:t>图</w:t>
      </w:r>
      <w:r>
        <w:rPr>
          <w:rFonts w:ascii="仿宋_GB2312" w:eastAsia="仿宋_GB2312" w:hint="eastAsia"/>
          <w:b/>
          <w:color w:val="000000"/>
          <w:sz w:val="32"/>
        </w:rPr>
        <w:t>1</w:t>
      </w:r>
      <w:r>
        <w:rPr>
          <w:rFonts w:ascii="仿宋_GB2312" w:eastAsia="仿宋_GB2312" w:hint="eastAsia"/>
          <w:b/>
          <w:color w:val="000000"/>
          <w:sz w:val="32"/>
        </w:rPr>
        <w:t>：收入决算</w:t>
      </w:r>
    </w:p>
    <w:p w:rsidR="00290AD9" w:rsidRDefault="007D2DC4">
      <w:pPr>
        <w:jc w:val="center"/>
      </w:pPr>
      <w:r>
        <w:rPr>
          <w:noProof/>
        </w:rPr>
        <w:drawing>
          <wp:inline distT="0" distB="0" distL="0" distR="0">
            <wp:extent cx="3846830" cy="1932305"/>
            <wp:effectExtent l="0" t="0" r="20320" b="10795"/>
            <wp:docPr id="7" name="对象 7" descr="标题: {{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90AD9" w:rsidRDefault="00290AD9">
      <w:pPr>
        <w:jc w:val="center"/>
      </w:pPr>
    </w:p>
    <w:p w:rsidR="00290AD9" w:rsidRDefault="007D2DC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90AD9" w:rsidRDefault="007D2DC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921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21.69</w:t>
      </w:r>
      <w:r>
        <w:rPr>
          <w:rFonts w:ascii="仿宋_GB2312" w:eastAsia="仿宋_GB2312" w:hint="eastAsia"/>
          <w:sz w:val="28"/>
          <w:szCs w:val="28"/>
        </w:rPr>
        <w:t>万元，下降</w:t>
      </w:r>
      <w:r>
        <w:rPr>
          <w:rFonts w:ascii="仿宋_GB2312" w:eastAsia="仿宋_GB2312" w:hint="eastAsia"/>
          <w:sz w:val="28"/>
          <w:szCs w:val="28"/>
        </w:rPr>
        <w:t>2.3</w:t>
      </w:r>
      <w:r w:rsidR="007362BA">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508.85</w:t>
      </w:r>
      <w:r>
        <w:rPr>
          <w:rFonts w:ascii="仿宋_GB2312" w:eastAsia="仿宋_GB2312" w:hint="eastAsia"/>
          <w:sz w:val="28"/>
          <w:szCs w:val="28"/>
        </w:rPr>
        <w:t>万元，占支出合计的</w:t>
      </w:r>
      <w:r>
        <w:rPr>
          <w:rFonts w:ascii="仿宋_GB2312" w:eastAsia="仿宋_GB2312"/>
          <w:sz w:val="28"/>
          <w:szCs w:val="28"/>
        </w:rPr>
        <w:t>55</w:t>
      </w:r>
      <w:r>
        <w:rPr>
          <w:rFonts w:ascii="仿宋_GB2312" w:eastAsia="仿宋_GB2312" w:hint="eastAsia"/>
          <w:sz w:val="28"/>
          <w:szCs w:val="28"/>
        </w:rPr>
        <w:t>.25%</w:t>
      </w:r>
      <w:r>
        <w:rPr>
          <w:rFonts w:ascii="仿宋_GB2312" w:eastAsia="仿宋_GB2312" w:hint="eastAsia"/>
          <w:sz w:val="28"/>
          <w:szCs w:val="28"/>
        </w:rPr>
        <w:t>；项目支出</w:t>
      </w:r>
      <w:r>
        <w:rPr>
          <w:rFonts w:ascii="仿宋_GB2312" w:eastAsia="仿宋_GB2312"/>
          <w:sz w:val="28"/>
          <w:szCs w:val="28"/>
        </w:rPr>
        <w:t>412.15</w:t>
      </w:r>
      <w:r>
        <w:rPr>
          <w:rFonts w:ascii="仿宋_GB2312" w:eastAsia="仿宋_GB2312" w:hint="eastAsia"/>
          <w:sz w:val="28"/>
          <w:szCs w:val="28"/>
        </w:rPr>
        <w:t>万元，占支出合计的</w:t>
      </w:r>
      <w:r>
        <w:rPr>
          <w:rFonts w:ascii="仿宋_GB2312" w:eastAsia="仿宋_GB2312" w:hint="eastAsia"/>
          <w:sz w:val="28"/>
          <w:szCs w:val="28"/>
        </w:rPr>
        <w:t>44.75%;</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290AD9" w:rsidRDefault="007D2DC4">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290AD9" w:rsidRDefault="007D2DC4">
      <w:pPr>
        <w:jc w:val="center"/>
        <w:rPr>
          <w:rFonts w:ascii="黑体" w:eastAsia="黑体"/>
          <w:b/>
          <w:sz w:val="28"/>
          <w:szCs w:val="28"/>
        </w:rPr>
      </w:pPr>
      <w:r>
        <w:rPr>
          <w:rFonts w:ascii="黑体" w:eastAsia="黑体"/>
          <w:b/>
          <w:noProof/>
          <w:sz w:val="28"/>
          <w:szCs w:val="28"/>
        </w:rPr>
        <w:drawing>
          <wp:inline distT="0" distB="0" distL="0" distR="0">
            <wp:extent cx="4229100" cy="2466975"/>
            <wp:effectExtent l="0" t="0" r="19050"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90AD9" w:rsidRDefault="00290AD9" w:rsidP="00C3141D">
      <w:pPr>
        <w:tabs>
          <w:tab w:val="center" w:pos="6979"/>
        </w:tabs>
        <w:spacing w:line="580" w:lineRule="exact"/>
        <w:ind w:firstLineChars="196" w:firstLine="551"/>
        <w:rPr>
          <w:rFonts w:ascii="黑体" w:eastAsia="黑体"/>
          <w:b/>
          <w:sz w:val="28"/>
          <w:szCs w:val="28"/>
        </w:rPr>
      </w:pPr>
    </w:p>
    <w:p w:rsidR="00290AD9" w:rsidRDefault="00290AD9" w:rsidP="00C3141D">
      <w:pPr>
        <w:tabs>
          <w:tab w:val="center" w:pos="6979"/>
        </w:tabs>
        <w:spacing w:line="580" w:lineRule="exact"/>
        <w:ind w:firstLineChars="196" w:firstLine="551"/>
        <w:rPr>
          <w:rFonts w:ascii="黑体" w:eastAsia="黑体"/>
          <w:b/>
          <w:sz w:val="28"/>
          <w:szCs w:val="28"/>
        </w:rPr>
      </w:pPr>
    </w:p>
    <w:p w:rsidR="00290AD9" w:rsidRDefault="007D2DC4" w:rsidP="00C3141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90AD9" w:rsidRDefault="007D2DC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1023.91</w:t>
      </w:r>
      <w:r>
        <w:rPr>
          <w:rFonts w:ascii="仿宋_GB2312" w:eastAsia="仿宋_GB2312" w:hint="eastAsia"/>
          <w:sz w:val="28"/>
          <w:szCs w:val="28"/>
        </w:rPr>
        <w:t>万元，比上年减少</w:t>
      </w:r>
      <w:r>
        <w:rPr>
          <w:rFonts w:ascii="仿宋_GB2312" w:eastAsia="仿宋_GB2312" w:hint="eastAsia"/>
          <w:sz w:val="28"/>
          <w:szCs w:val="28"/>
        </w:rPr>
        <w:t>22.79</w:t>
      </w:r>
      <w:r>
        <w:rPr>
          <w:rFonts w:ascii="仿宋_GB2312" w:eastAsia="仿宋_GB2312" w:hint="eastAsia"/>
          <w:sz w:val="28"/>
          <w:szCs w:val="28"/>
        </w:rPr>
        <w:t>万元，下降</w:t>
      </w:r>
      <w:r>
        <w:rPr>
          <w:rFonts w:ascii="仿宋_GB2312" w:eastAsia="仿宋_GB2312" w:hint="eastAsia"/>
          <w:sz w:val="28"/>
          <w:szCs w:val="28"/>
        </w:rPr>
        <w:t>2.18%</w:t>
      </w:r>
      <w:r>
        <w:rPr>
          <w:rFonts w:ascii="仿宋_GB2312" w:eastAsia="仿宋_GB2312" w:hint="eastAsia"/>
          <w:sz w:val="28"/>
          <w:szCs w:val="28"/>
        </w:rPr>
        <w:t>。主要原因：严格落实过“紧日子”要求，压减一般性支出。</w:t>
      </w:r>
    </w:p>
    <w:p w:rsidR="00290AD9" w:rsidRDefault="007D2DC4" w:rsidP="00C3141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90AD9" w:rsidRDefault="007D2DC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90AD9" w:rsidRDefault="007D2DC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年度一般公共预算财政拨款支出</w:t>
      </w:r>
      <w:r>
        <w:rPr>
          <w:rFonts w:ascii="仿宋_GB2312" w:eastAsia="仿宋_GB2312"/>
          <w:sz w:val="28"/>
          <w:szCs w:val="28"/>
        </w:rPr>
        <w:t>916.28</w:t>
      </w:r>
      <w:r>
        <w:rPr>
          <w:rFonts w:ascii="仿宋_GB2312" w:eastAsia="仿宋_GB2312" w:hint="eastAsia"/>
          <w:sz w:val="28"/>
          <w:szCs w:val="28"/>
        </w:rPr>
        <w:t>万元，主要用于以下方面：一般公共服务支出</w:t>
      </w:r>
      <w:r>
        <w:rPr>
          <w:rFonts w:ascii="仿宋_GB2312" w:eastAsia="仿宋_GB2312" w:hint="eastAsia"/>
          <w:sz w:val="28"/>
          <w:szCs w:val="28"/>
        </w:rPr>
        <w:t>834.78</w:t>
      </w:r>
      <w:r>
        <w:rPr>
          <w:rFonts w:ascii="仿宋_GB2312" w:eastAsia="仿宋_GB2312" w:hint="eastAsia"/>
          <w:sz w:val="28"/>
          <w:szCs w:val="28"/>
        </w:rPr>
        <w:t>万元，占本年财政拨款支出</w:t>
      </w:r>
      <w:r>
        <w:rPr>
          <w:rFonts w:ascii="仿宋_GB2312" w:eastAsia="仿宋_GB2312" w:hint="eastAsia"/>
          <w:sz w:val="28"/>
          <w:szCs w:val="28"/>
        </w:rPr>
        <w:t>91.1</w:t>
      </w:r>
      <w:r>
        <w:rPr>
          <w:rFonts w:ascii="仿宋_GB2312" w:eastAsia="仿宋_GB2312"/>
          <w:sz w:val="28"/>
          <w:szCs w:val="28"/>
          <w:lang w:val="en"/>
        </w:rPr>
        <w:t>1</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47.48</w:t>
      </w:r>
      <w:r>
        <w:rPr>
          <w:rFonts w:ascii="仿宋_GB2312" w:eastAsia="仿宋_GB2312" w:hint="eastAsia"/>
          <w:sz w:val="28"/>
          <w:szCs w:val="28"/>
        </w:rPr>
        <w:t>万元，占本年财政拨款支出</w:t>
      </w:r>
      <w:r>
        <w:rPr>
          <w:rFonts w:ascii="仿宋_GB2312" w:eastAsia="仿宋_GB2312" w:hint="eastAsia"/>
          <w:sz w:val="28"/>
          <w:szCs w:val="28"/>
        </w:rPr>
        <w:t>5.18%</w:t>
      </w:r>
      <w:r>
        <w:rPr>
          <w:rFonts w:ascii="仿宋_GB2312" w:eastAsia="仿宋_GB2312" w:hint="eastAsia"/>
          <w:sz w:val="28"/>
          <w:szCs w:val="28"/>
        </w:rPr>
        <w:t>；卫生健康支出</w:t>
      </w:r>
      <w:r>
        <w:rPr>
          <w:rFonts w:ascii="仿宋_GB2312" w:eastAsia="仿宋_GB2312" w:hint="eastAsia"/>
          <w:sz w:val="28"/>
          <w:szCs w:val="28"/>
        </w:rPr>
        <w:t>34.02</w:t>
      </w:r>
      <w:r>
        <w:rPr>
          <w:rFonts w:ascii="仿宋_GB2312" w:eastAsia="仿宋_GB2312" w:hint="eastAsia"/>
          <w:sz w:val="28"/>
          <w:szCs w:val="28"/>
        </w:rPr>
        <w:t>万元，占本年财政拨款支出</w:t>
      </w:r>
      <w:r>
        <w:rPr>
          <w:rFonts w:ascii="仿宋_GB2312" w:eastAsia="仿宋_GB2312" w:hint="eastAsia"/>
          <w:sz w:val="28"/>
          <w:szCs w:val="28"/>
        </w:rPr>
        <w:t>3.71%</w:t>
      </w:r>
      <w:r>
        <w:rPr>
          <w:rFonts w:ascii="仿宋_GB2312" w:eastAsia="仿宋_GB2312" w:hint="eastAsia"/>
          <w:sz w:val="28"/>
          <w:szCs w:val="28"/>
        </w:rPr>
        <w:t>。</w:t>
      </w:r>
    </w:p>
    <w:p w:rsidR="00290AD9" w:rsidRDefault="007D2DC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90AD9" w:rsidRDefault="007D2DC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 xml:space="preserve"> 2023</w:t>
      </w:r>
      <w:r>
        <w:rPr>
          <w:rFonts w:ascii="仿宋_GB2312" w:eastAsia="仿宋_GB2312" w:hint="eastAsia"/>
          <w:sz w:val="28"/>
          <w:szCs w:val="28"/>
        </w:rPr>
        <w:t>年度决算</w:t>
      </w:r>
      <w:r>
        <w:rPr>
          <w:rFonts w:ascii="仿宋_GB2312" w:eastAsia="仿宋_GB2312" w:hint="eastAsia"/>
          <w:sz w:val="28"/>
          <w:szCs w:val="28"/>
        </w:rPr>
        <w:t>834.78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82.84</w:t>
      </w:r>
      <w:r>
        <w:rPr>
          <w:rFonts w:ascii="仿宋_GB2312" w:eastAsia="仿宋_GB2312" w:hint="eastAsia"/>
          <w:sz w:val="28"/>
          <w:szCs w:val="28"/>
        </w:rPr>
        <w:t>万元，下降</w:t>
      </w:r>
      <w:r>
        <w:rPr>
          <w:rFonts w:ascii="仿宋_GB2312" w:eastAsia="仿宋_GB2312" w:hint="eastAsia"/>
          <w:sz w:val="28"/>
          <w:szCs w:val="28"/>
        </w:rPr>
        <w:t>9.03%</w:t>
      </w:r>
      <w:r>
        <w:rPr>
          <w:rFonts w:ascii="仿宋_GB2312" w:eastAsia="仿宋_GB2312" w:hint="eastAsia"/>
          <w:sz w:val="28"/>
          <w:szCs w:val="28"/>
        </w:rPr>
        <w:t>。其中：</w:t>
      </w:r>
    </w:p>
    <w:p w:rsidR="00290AD9" w:rsidRDefault="007D2DC4">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834.78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82.84</w:t>
      </w:r>
      <w:r>
        <w:rPr>
          <w:rFonts w:ascii="仿宋_GB2312" w:eastAsia="仿宋_GB2312" w:hint="eastAsia"/>
          <w:sz w:val="28"/>
          <w:szCs w:val="28"/>
        </w:rPr>
        <w:t>万元，下降</w:t>
      </w:r>
      <w:r>
        <w:rPr>
          <w:rFonts w:ascii="仿宋_GB2312" w:eastAsia="仿宋_GB2312" w:hint="eastAsia"/>
          <w:sz w:val="28"/>
          <w:szCs w:val="28"/>
        </w:rPr>
        <w:t>9.03%</w:t>
      </w:r>
      <w:r>
        <w:rPr>
          <w:rFonts w:ascii="仿宋_GB2312" w:eastAsia="仿宋_GB2312" w:hint="eastAsia"/>
          <w:sz w:val="28"/>
          <w:szCs w:val="28"/>
        </w:rPr>
        <w:t>。主要原因：严格落实过“紧日子”要求，压减一般性支出。</w:t>
      </w:r>
    </w:p>
    <w:p w:rsidR="00290AD9" w:rsidRDefault="007D2DC4">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47.48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6.63</w:t>
      </w:r>
      <w:r>
        <w:rPr>
          <w:rFonts w:ascii="仿宋_GB2312" w:eastAsia="仿宋_GB2312" w:hint="eastAsia"/>
          <w:sz w:val="28"/>
          <w:szCs w:val="28"/>
        </w:rPr>
        <w:t>万元，下降</w:t>
      </w:r>
      <w:r>
        <w:rPr>
          <w:rFonts w:ascii="仿宋_GB2312" w:eastAsia="仿宋_GB2312" w:hint="eastAsia"/>
          <w:sz w:val="28"/>
          <w:szCs w:val="28"/>
        </w:rPr>
        <w:t>12.25%</w:t>
      </w:r>
      <w:r>
        <w:rPr>
          <w:rFonts w:ascii="仿宋_GB2312" w:eastAsia="仿宋_GB2312" w:hint="eastAsia"/>
          <w:sz w:val="28"/>
          <w:szCs w:val="28"/>
        </w:rPr>
        <w:t>。其中：</w:t>
      </w:r>
    </w:p>
    <w:p w:rsidR="00290AD9" w:rsidRDefault="007D2DC4">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hint="eastAsia"/>
        </w:rPr>
        <w:t xml:space="preserve"> </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47.48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6.63</w:t>
      </w:r>
      <w:r>
        <w:rPr>
          <w:rFonts w:ascii="仿宋_GB2312" w:eastAsia="仿宋_GB2312" w:hint="eastAsia"/>
          <w:sz w:val="28"/>
          <w:szCs w:val="28"/>
        </w:rPr>
        <w:t>万元，下降</w:t>
      </w:r>
      <w:r>
        <w:rPr>
          <w:rFonts w:ascii="仿宋_GB2312" w:eastAsia="仿宋_GB2312" w:hint="eastAsia"/>
          <w:sz w:val="28"/>
          <w:szCs w:val="28"/>
        </w:rPr>
        <w:t>12.25%</w:t>
      </w:r>
      <w:r>
        <w:rPr>
          <w:rFonts w:ascii="仿宋_GB2312" w:eastAsia="仿宋_GB2312" w:hint="eastAsia"/>
          <w:sz w:val="28"/>
          <w:szCs w:val="28"/>
        </w:rPr>
        <w:t>。主要原因：落实机关事业单位养老保险政策，按规定缴纳养老保险及职业年金。</w:t>
      </w:r>
    </w:p>
    <w:p w:rsidR="00290AD9" w:rsidRDefault="007D2DC4">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34.02</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6.92</w:t>
      </w:r>
      <w:r>
        <w:rPr>
          <w:rFonts w:ascii="仿宋_GB2312" w:eastAsia="仿宋_GB2312" w:hint="eastAsia"/>
          <w:sz w:val="28"/>
          <w:szCs w:val="28"/>
        </w:rPr>
        <w:t>万元，下降</w:t>
      </w:r>
      <w:r>
        <w:rPr>
          <w:rFonts w:ascii="仿宋_GB2312" w:eastAsia="仿宋_GB2312" w:hint="eastAsia"/>
          <w:sz w:val="28"/>
          <w:szCs w:val="28"/>
        </w:rPr>
        <w:t>16.9%</w:t>
      </w:r>
      <w:r>
        <w:rPr>
          <w:rFonts w:ascii="仿宋_GB2312" w:eastAsia="仿宋_GB2312" w:hint="eastAsia"/>
          <w:sz w:val="28"/>
          <w:szCs w:val="28"/>
        </w:rPr>
        <w:t>。其中：</w:t>
      </w:r>
    </w:p>
    <w:p w:rsidR="00290AD9" w:rsidRDefault="007D2DC4">
      <w:pPr>
        <w:ind w:firstLineChars="200" w:firstLine="560"/>
      </w:pPr>
      <w:r>
        <w:rPr>
          <w:rFonts w:ascii="仿宋_GB2312" w:eastAsia="仿宋_GB2312" w:hint="eastAsia"/>
          <w:sz w:val="28"/>
          <w:szCs w:val="28"/>
        </w:rPr>
        <w:lastRenderedPageBreak/>
        <w:t>“行政事业单位医疗”</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34.02</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6.92</w:t>
      </w:r>
      <w:r>
        <w:rPr>
          <w:rFonts w:ascii="仿宋_GB2312" w:eastAsia="仿宋_GB2312" w:hint="eastAsia"/>
          <w:sz w:val="28"/>
          <w:szCs w:val="28"/>
        </w:rPr>
        <w:t>万元，下降</w:t>
      </w:r>
      <w:r>
        <w:rPr>
          <w:rFonts w:ascii="仿宋_GB2312" w:eastAsia="仿宋_GB2312" w:hint="eastAsia"/>
          <w:sz w:val="28"/>
          <w:szCs w:val="28"/>
        </w:rPr>
        <w:t>16.9%</w:t>
      </w:r>
      <w:r>
        <w:rPr>
          <w:rFonts w:ascii="仿宋_GB2312" w:eastAsia="仿宋_GB2312" w:hint="eastAsia"/>
          <w:sz w:val="28"/>
          <w:szCs w:val="28"/>
        </w:rPr>
        <w:t>。主要原因：落实全市统一要求，缴纳职工基本医疗保险。</w:t>
      </w:r>
    </w:p>
    <w:p w:rsidR="00290AD9" w:rsidRDefault="007D2DC4" w:rsidP="00C3141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290AD9" w:rsidRDefault="007D2DC4">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290AD9" w:rsidRDefault="007D2DC4" w:rsidP="00C3141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290AD9" w:rsidRDefault="007D2DC4" w:rsidP="00C3141D">
      <w:pPr>
        <w:spacing w:line="580" w:lineRule="exact"/>
        <w:ind w:firstLineChars="196" w:firstLine="549"/>
        <w:rPr>
          <w:rFonts w:ascii="仿宋_GB2312" w:eastAsia="仿宋_GB2312"/>
          <w:sz w:val="28"/>
          <w:szCs w:val="28"/>
        </w:rPr>
      </w:pPr>
      <w:r>
        <w:rPr>
          <w:rFonts w:ascii="仿宋_GB2312" w:eastAsia="仿宋_GB2312" w:hint="eastAsia"/>
          <w:sz w:val="28"/>
          <w:szCs w:val="28"/>
        </w:rPr>
        <w:t>本年度无此项经费。</w:t>
      </w:r>
    </w:p>
    <w:p w:rsidR="00290AD9" w:rsidRDefault="007D2DC4" w:rsidP="00C3141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90AD9" w:rsidRDefault="007D2DC4" w:rsidP="00C3141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508.85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290AD9" w:rsidRDefault="007D2DC4">
      <w:pPr>
        <w:jc w:val="center"/>
        <w:rPr>
          <w:rFonts w:ascii="仿宋_GB2312" w:eastAsia="仿宋_GB2312"/>
          <w:sz w:val="28"/>
          <w:szCs w:val="28"/>
        </w:rPr>
      </w:pPr>
      <w: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290AD9" w:rsidRDefault="007D2DC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90AD9" w:rsidRDefault="007D2DC4">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sz w:val="28"/>
          <w:szCs w:val="28"/>
        </w:rPr>
        <w:t>1</w:t>
      </w:r>
      <w:r>
        <w:rPr>
          <w:rFonts w:ascii="仿宋_GB2312" w:eastAsia="仿宋_GB2312" w:hint="eastAsia"/>
          <w:sz w:val="28"/>
          <w:szCs w:val="28"/>
        </w:rPr>
        <w:t>个事业单位。</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0.51</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4.75</w:t>
      </w:r>
      <w:r>
        <w:rPr>
          <w:rFonts w:ascii="仿宋_GB2312" w:eastAsia="仿宋_GB2312" w:hint="eastAsia"/>
          <w:sz w:val="28"/>
          <w:szCs w:val="28"/>
        </w:rPr>
        <w:t>万元减少</w:t>
      </w:r>
      <w:r>
        <w:rPr>
          <w:rFonts w:ascii="仿宋_GB2312" w:eastAsia="仿宋_GB2312"/>
          <w:sz w:val="28"/>
          <w:szCs w:val="28"/>
        </w:rPr>
        <w:t>4.2</w:t>
      </w:r>
      <w:r>
        <w:rPr>
          <w:rFonts w:ascii="仿宋_GB2312" w:eastAsia="仿宋_GB2312" w:hint="eastAsia"/>
          <w:sz w:val="28"/>
          <w:szCs w:val="28"/>
        </w:rPr>
        <w:t>4</w:t>
      </w:r>
      <w:r>
        <w:rPr>
          <w:rFonts w:ascii="仿宋_GB2312" w:eastAsia="仿宋_GB2312" w:hint="eastAsia"/>
          <w:sz w:val="28"/>
          <w:szCs w:val="28"/>
        </w:rPr>
        <w:t>万元。其中：</w:t>
      </w:r>
    </w:p>
    <w:p w:rsidR="00290AD9" w:rsidRDefault="007D2DC4">
      <w:pPr>
        <w:spacing w:line="560" w:lineRule="exact"/>
        <w:ind w:firstLine="600"/>
        <w:rPr>
          <w:rFonts w:ascii="仿宋_GB2312" w:eastAsia="仿宋_GB2312"/>
          <w:color w:val="000000" w:themeColor="text1"/>
          <w:sz w:val="28"/>
          <w:szCs w:val="28"/>
        </w:rPr>
      </w:pPr>
      <w:r>
        <w:rPr>
          <w:rFonts w:ascii="仿宋_GB2312" w:eastAsia="仿宋_GB2312" w:hint="eastAsia"/>
          <w:color w:val="000000" w:themeColor="text1"/>
          <w:sz w:val="28"/>
          <w:szCs w:val="28"/>
        </w:rPr>
        <w:t>1.</w:t>
      </w:r>
      <w:r>
        <w:rPr>
          <w:rFonts w:ascii="仿宋_GB2312" w:eastAsia="仿宋_GB2312" w:hint="eastAsia"/>
          <w:color w:val="000000" w:themeColor="text1"/>
          <w:sz w:val="28"/>
          <w:szCs w:val="28"/>
        </w:rPr>
        <w:t>因公出国（境）费用。</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年度决算数</w:t>
      </w:r>
      <w:r>
        <w:rPr>
          <w:rFonts w:ascii="仿宋_GB2312" w:eastAsia="仿宋_GB2312" w:hint="eastAsia"/>
          <w:color w:val="000000" w:themeColor="text1"/>
          <w:sz w:val="28"/>
          <w:szCs w:val="28"/>
        </w:rPr>
        <w:t>0</w:t>
      </w:r>
      <w:r>
        <w:rPr>
          <w:rFonts w:ascii="仿宋_GB2312" w:eastAsia="仿宋_GB2312" w:hint="eastAsia"/>
          <w:color w:val="000000" w:themeColor="text1"/>
          <w:sz w:val="28"/>
          <w:szCs w:val="28"/>
        </w:rPr>
        <w:t>万元，与</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年度年初预算数</w:t>
      </w:r>
      <w:r>
        <w:rPr>
          <w:rFonts w:ascii="仿宋_GB2312" w:eastAsia="仿宋_GB2312" w:hint="eastAsia"/>
          <w:color w:val="000000" w:themeColor="text1"/>
          <w:sz w:val="28"/>
          <w:szCs w:val="28"/>
        </w:rPr>
        <w:t>0</w:t>
      </w:r>
      <w:r>
        <w:rPr>
          <w:rFonts w:ascii="仿宋_GB2312" w:eastAsia="仿宋_GB2312" w:hint="eastAsia"/>
          <w:color w:val="000000" w:themeColor="text1"/>
          <w:sz w:val="28"/>
          <w:szCs w:val="28"/>
        </w:rPr>
        <w:t>万元持平。主要原因：全年未安排因公出国任务；</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年度因公出国（境）费用无支出。</w:t>
      </w:r>
    </w:p>
    <w:p w:rsidR="00290AD9" w:rsidRDefault="007D2DC4">
      <w:pPr>
        <w:spacing w:line="560" w:lineRule="exact"/>
        <w:ind w:firstLine="600"/>
        <w:rPr>
          <w:rFonts w:ascii="仿宋_GB2312" w:eastAsia="仿宋_GB2312"/>
          <w:color w:val="000000" w:themeColor="text1"/>
          <w:sz w:val="28"/>
          <w:szCs w:val="28"/>
        </w:rPr>
      </w:pPr>
      <w:r>
        <w:rPr>
          <w:rFonts w:ascii="仿宋_GB2312" w:eastAsia="仿宋_GB2312" w:hint="eastAsia"/>
          <w:color w:val="000000" w:themeColor="text1"/>
          <w:sz w:val="28"/>
          <w:szCs w:val="28"/>
        </w:rPr>
        <w:t>2.</w:t>
      </w:r>
      <w:r>
        <w:rPr>
          <w:rFonts w:ascii="仿宋_GB2312" w:eastAsia="仿宋_GB2312" w:hint="eastAsia"/>
          <w:color w:val="000000" w:themeColor="text1"/>
          <w:sz w:val="28"/>
          <w:szCs w:val="28"/>
        </w:rPr>
        <w:t>公务接待费。</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年度决算数</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万元，与</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年度年初预算数</w:t>
      </w:r>
      <w:r>
        <w:rPr>
          <w:rFonts w:ascii="仿宋_GB2312" w:eastAsia="仿宋_GB2312" w:hint="eastAsia"/>
          <w:color w:val="000000" w:themeColor="text1"/>
          <w:sz w:val="28"/>
          <w:szCs w:val="28"/>
        </w:rPr>
        <w:t>0</w:t>
      </w:r>
      <w:r>
        <w:rPr>
          <w:rFonts w:ascii="仿宋_GB2312" w:eastAsia="仿宋_GB2312" w:hint="eastAsia"/>
          <w:color w:val="000000" w:themeColor="text1"/>
          <w:sz w:val="28"/>
          <w:szCs w:val="28"/>
        </w:rPr>
        <w:t>万元持平。主要原因：贯彻落实中央八项规定，严格控制公务接待支出；</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年度公务接待费无支出。</w:t>
      </w:r>
    </w:p>
    <w:p w:rsidR="00290AD9" w:rsidRDefault="007D2DC4">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3.</w:t>
      </w:r>
      <w:r>
        <w:rPr>
          <w:rFonts w:ascii="仿宋_GB2312" w:eastAsia="仿宋_GB2312" w:hint="eastAsia"/>
          <w:color w:val="000000" w:themeColor="text1"/>
          <w:sz w:val="28"/>
          <w:szCs w:val="28"/>
        </w:rPr>
        <w:t>公务用车购置及运行维护费。</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年度决算数</w:t>
      </w:r>
      <w:r>
        <w:rPr>
          <w:rFonts w:ascii="仿宋_GB2312" w:eastAsia="仿宋_GB2312" w:hint="eastAsia"/>
          <w:color w:val="000000" w:themeColor="text1"/>
          <w:sz w:val="28"/>
          <w:szCs w:val="28"/>
        </w:rPr>
        <w:t>0.51</w:t>
      </w:r>
      <w:r>
        <w:rPr>
          <w:rFonts w:ascii="仿宋_GB2312" w:eastAsia="仿宋_GB2312" w:hint="eastAsia"/>
          <w:color w:val="000000" w:themeColor="text1"/>
          <w:sz w:val="28"/>
          <w:szCs w:val="28"/>
        </w:rPr>
        <w:t>万元，比</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年度年初预算数</w:t>
      </w:r>
      <w:r>
        <w:rPr>
          <w:rFonts w:ascii="仿宋_GB2312" w:eastAsia="仿宋_GB2312" w:hint="eastAsia"/>
          <w:color w:val="000000" w:themeColor="text1"/>
          <w:sz w:val="28"/>
          <w:szCs w:val="28"/>
        </w:rPr>
        <w:t>4.75</w:t>
      </w:r>
      <w:r>
        <w:rPr>
          <w:rFonts w:ascii="仿宋_GB2312" w:eastAsia="仿宋_GB2312" w:hint="eastAsia"/>
          <w:color w:val="000000" w:themeColor="text1"/>
          <w:sz w:val="28"/>
          <w:szCs w:val="28"/>
        </w:rPr>
        <w:t>万元减少</w:t>
      </w:r>
      <w:r>
        <w:rPr>
          <w:rFonts w:ascii="仿宋_GB2312" w:eastAsia="仿宋_GB2312" w:hint="eastAsia"/>
          <w:color w:val="000000" w:themeColor="text1"/>
          <w:sz w:val="28"/>
          <w:szCs w:val="28"/>
        </w:rPr>
        <w:t>4.24</w:t>
      </w:r>
      <w:r>
        <w:rPr>
          <w:rFonts w:ascii="仿宋_GB2312" w:eastAsia="仿宋_GB2312" w:hint="eastAsia"/>
          <w:color w:val="000000" w:themeColor="text1"/>
          <w:sz w:val="28"/>
          <w:szCs w:val="28"/>
        </w:rPr>
        <w:t>万元。</w:t>
      </w:r>
    </w:p>
    <w:p w:rsidR="00290AD9" w:rsidRDefault="007D2DC4">
      <w:pPr>
        <w:spacing w:line="560" w:lineRule="exact"/>
        <w:ind w:firstLineChars="200" w:firstLine="560"/>
        <w:rPr>
          <w:rFonts w:ascii="仿宋_GB2312" w:eastAsia="仿宋_GB2312"/>
          <w:sz w:val="28"/>
          <w:szCs w:val="28"/>
        </w:rPr>
      </w:pPr>
      <w:r>
        <w:rPr>
          <w:rFonts w:ascii="仿宋_GB2312" w:eastAsia="仿宋_GB2312" w:hint="eastAsia"/>
          <w:color w:val="000000" w:themeColor="text1"/>
          <w:sz w:val="28"/>
          <w:szCs w:val="28"/>
        </w:rPr>
        <w:t>其中，公务用车购置费</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年度决算数</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万元，与</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年度年初预算数</w:t>
      </w:r>
      <w:r>
        <w:rPr>
          <w:rFonts w:ascii="仿宋_GB2312" w:eastAsia="仿宋_GB2312" w:hint="eastAsia"/>
          <w:color w:val="000000" w:themeColor="text1"/>
          <w:sz w:val="28"/>
          <w:szCs w:val="28"/>
        </w:rPr>
        <w:t>0</w:t>
      </w:r>
      <w:r>
        <w:rPr>
          <w:rFonts w:ascii="仿宋_GB2312" w:eastAsia="仿宋_GB2312" w:hint="eastAsia"/>
          <w:color w:val="000000" w:themeColor="text1"/>
          <w:sz w:val="28"/>
          <w:szCs w:val="28"/>
        </w:rPr>
        <w:t>万元持平。主要原因：</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w:t>
      </w:r>
      <w:r w:rsidR="00397771">
        <w:rPr>
          <w:rFonts w:ascii="仿宋_GB2312" w:eastAsia="仿宋_GB2312" w:hint="eastAsia"/>
          <w:color w:val="000000" w:themeColor="text1"/>
          <w:sz w:val="28"/>
          <w:szCs w:val="28"/>
        </w:rPr>
        <w:t>度</w:t>
      </w:r>
      <w:r>
        <w:rPr>
          <w:rFonts w:ascii="仿宋_GB2312" w:eastAsia="仿宋_GB2312" w:hint="eastAsia"/>
          <w:color w:val="000000" w:themeColor="text1"/>
          <w:sz w:val="28"/>
          <w:szCs w:val="28"/>
        </w:rPr>
        <w:t>本单位无公务车辆购置（更新）计划，</w:t>
      </w:r>
      <w:r>
        <w:rPr>
          <w:rFonts w:ascii="仿宋_GB2312" w:eastAsia="仿宋_GB2312" w:hint="eastAsia"/>
          <w:sz w:val="28"/>
          <w:szCs w:val="28"/>
        </w:rPr>
        <w:t>2023</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辆，车均购置费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color w:val="000000" w:themeColor="text1"/>
          <w:sz w:val="28"/>
          <w:szCs w:val="28"/>
        </w:rPr>
        <w:t>。公务用车运行维护费</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年度决算数</w:t>
      </w:r>
      <w:r>
        <w:rPr>
          <w:rFonts w:ascii="仿宋_GB2312" w:eastAsia="仿宋_GB2312"/>
          <w:color w:val="000000" w:themeColor="text1"/>
          <w:sz w:val="28"/>
          <w:szCs w:val="28"/>
        </w:rPr>
        <w:t>0.51</w:t>
      </w:r>
      <w:r>
        <w:rPr>
          <w:rFonts w:ascii="仿宋_GB2312" w:eastAsia="仿宋_GB2312" w:hint="eastAsia"/>
          <w:color w:val="000000" w:themeColor="text1"/>
          <w:sz w:val="28"/>
          <w:szCs w:val="28"/>
        </w:rPr>
        <w:t>万元，比</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年度年初预算数</w:t>
      </w:r>
      <w:r>
        <w:rPr>
          <w:rFonts w:ascii="仿宋_GB2312" w:eastAsia="仿宋_GB2312"/>
          <w:color w:val="000000" w:themeColor="text1"/>
          <w:sz w:val="28"/>
          <w:szCs w:val="28"/>
        </w:rPr>
        <w:t>4.75</w:t>
      </w:r>
      <w:r>
        <w:rPr>
          <w:rFonts w:ascii="仿宋_GB2312" w:eastAsia="仿宋_GB2312" w:hint="eastAsia"/>
          <w:color w:val="000000" w:themeColor="text1"/>
          <w:sz w:val="28"/>
          <w:szCs w:val="28"/>
        </w:rPr>
        <w:t>万元减少</w:t>
      </w:r>
      <w:r>
        <w:rPr>
          <w:rFonts w:ascii="仿宋_GB2312" w:eastAsia="仿宋_GB2312" w:hint="eastAsia"/>
          <w:color w:val="000000" w:themeColor="text1"/>
          <w:sz w:val="28"/>
          <w:szCs w:val="28"/>
        </w:rPr>
        <w:t>4.24</w:t>
      </w:r>
      <w:r>
        <w:rPr>
          <w:rFonts w:ascii="仿宋_GB2312" w:eastAsia="仿宋_GB2312" w:hint="eastAsia"/>
          <w:color w:val="000000" w:themeColor="text1"/>
          <w:sz w:val="28"/>
          <w:szCs w:val="28"/>
        </w:rPr>
        <w:t>万元，主要原因：加强公务用车管理，进一步规范车辆运行维护支出。</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年度公务用车运行维护费中，公务用车加油</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万元，主要原因：</w:t>
      </w:r>
      <w:r>
        <w:rPr>
          <w:rFonts w:ascii="仿宋_GB2312" w:eastAsia="仿宋_GB2312" w:hint="eastAsia"/>
          <w:color w:val="000000" w:themeColor="text1"/>
          <w:sz w:val="28"/>
          <w:szCs w:val="28"/>
        </w:rPr>
        <w:t>2023</w:t>
      </w:r>
      <w:r>
        <w:rPr>
          <w:rFonts w:ascii="仿宋_GB2312" w:eastAsia="仿宋_GB2312" w:hint="eastAsia"/>
          <w:color w:val="000000" w:themeColor="text1"/>
          <w:sz w:val="28"/>
          <w:szCs w:val="28"/>
        </w:rPr>
        <w:t>年度主要消化加油</w:t>
      </w:r>
      <w:proofErr w:type="gramStart"/>
      <w:r>
        <w:rPr>
          <w:rFonts w:ascii="仿宋_GB2312" w:eastAsia="仿宋_GB2312" w:hint="eastAsia"/>
          <w:color w:val="000000" w:themeColor="text1"/>
          <w:sz w:val="28"/>
          <w:szCs w:val="28"/>
        </w:rPr>
        <w:t>卡上年</w:t>
      </w:r>
      <w:proofErr w:type="gramEnd"/>
      <w:r>
        <w:rPr>
          <w:rFonts w:ascii="仿宋_GB2312" w:eastAsia="仿宋_GB2312" w:hint="eastAsia"/>
          <w:color w:val="000000" w:themeColor="text1"/>
          <w:sz w:val="28"/>
          <w:szCs w:val="28"/>
        </w:rPr>
        <w:t>结余；公务用车维修</w:t>
      </w:r>
      <w:r>
        <w:rPr>
          <w:rFonts w:ascii="仿宋_GB2312" w:eastAsia="仿宋_GB2312"/>
          <w:color w:val="000000" w:themeColor="text1"/>
          <w:sz w:val="28"/>
          <w:szCs w:val="28"/>
        </w:rPr>
        <w:t>0</w:t>
      </w:r>
      <w:r>
        <w:rPr>
          <w:rFonts w:ascii="仿宋_GB2312" w:eastAsia="仿宋_GB2312" w:hint="eastAsia"/>
          <w:color w:val="000000" w:themeColor="text1"/>
          <w:sz w:val="28"/>
          <w:szCs w:val="28"/>
        </w:rPr>
        <w:t>万元，公务用车保险</w:t>
      </w:r>
      <w:r>
        <w:rPr>
          <w:rFonts w:ascii="仿宋_GB2312" w:eastAsia="仿宋_GB2312"/>
          <w:color w:val="000000" w:themeColor="text1"/>
          <w:sz w:val="28"/>
          <w:szCs w:val="28"/>
        </w:rPr>
        <w:t>0.32</w:t>
      </w:r>
      <w:r>
        <w:rPr>
          <w:rFonts w:ascii="仿宋_GB2312" w:eastAsia="仿宋_GB2312" w:hint="eastAsia"/>
          <w:color w:val="000000" w:themeColor="text1"/>
          <w:sz w:val="28"/>
          <w:szCs w:val="28"/>
        </w:rPr>
        <w:t>万元，公务用车其他支出</w:t>
      </w:r>
      <w:r>
        <w:rPr>
          <w:rFonts w:ascii="仿宋_GB2312" w:eastAsia="仿宋_GB2312"/>
          <w:color w:val="000000" w:themeColor="text1"/>
          <w:sz w:val="28"/>
          <w:szCs w:val="28"/>
        </w:rPr>
        <w:t>0.19</w:t>
      </w:r>
      <w:r>
        <w:rPr>
          <w:rFonts w:ascii="仿宋_GB2312" w:eastAsia="仿宋_GB2312" w:hint="eastAsia"/>
          <w:color w:val="000000" w:themeColor="text1"/>
          <w:sz w:val="28"/>
          <w:szCs w:val="28"/>
        </w:rPr>
        <w:t>万元。</w:t>
      </w:r>
      <w:r>
        <w:rPr>
          <w:rFonts w:ascii="仿宋_GB2312" w:eastAsia="仿宋_GB2312" w:hint="eastAsia"/>
          <w:sz w:val="28"/>
          <w:szCs w:val="28"/>
        </w:rPr>
        <w:t>2023</w:t>
      </w:r>
      <w:r>
        <w:rPr>
          <w:rFonts w:ascii="仿宋_GB2312" w:eastAsia="仿宋_GB2312" w:hint="eastAsia"/>
          <w:sz w:val="28"/>
          <w:szCs w:val="28"/>
        </w:rPr>
        <w:t>年度公务用车保有量</w:t>
      </w:r>
      <w:r>
        <w:rPr>
          <w:rFonts w:ascii="仿宋_GB2312" w:eastAsia="仿宋_GB2312" w:hint="eastAsia"/>
          <w:sz w:val="28"/>
          <w:szCs w:val="28"/>
        </w:rPr>
        <w:t>2</w:t>
      </w:r>
      <w:r>
        <w:rPr>
          <w:rFonts w:ascii="仿宋_GB2312" w:eastAsia="仿宋_GB2312" w:hint="eastAsia"/>
          <w:sz w:val="28"/>
          <w:szCs w:val="28"/>
        </w:rPr>
        <w:t>辆，车均运行维护费</w:t>
      </w:r>
      <w:r>
        <w:rPr>
          <w:rFonts w:ascii="仿宋_GB2312" w:eastAsia="仿宋_GB2312" w:hint="eastAsia"/>
          <w:sz w:val="28"/>
          <w:szCs w:val="28"/>
        </w:rPr>
        <w:t>0.26</w:t>
      </w:r>
      <w:r>
        <w:rPr>
          <w:rFonts w:ascii="仿宋_GB2312" w:eastAsia="仿宋_GB2312" w:hint="eastAsia"/>
          <w:sz w:val="28"/>
          <w:szCs w:val="28"/>
        </w:rPr>
        <w:t>万元。</w:t>
      </w:r>
    </w:p>
    <w:p w:rsidR="00290AD9" w:rsidRDefault="007D2DC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90AD9" w:rsidRDefault="007D2DC4" w:rsidP="00C72C6B">
      <w:pPr>
        <w:spacing w:line="560" w:lineRule="exact"/>
        <w:ind w:left="540"/>
        <w:rPr>
          <w:rFonts w:ascii="仿宋_GB2312" w:eastAsia="仿宋_GB2312"/>
          <w:sz w:val="28"/>
          <w:szCs w:val="28"/>
        </w:rPr>
      </w:pPr>
      <w:r>
        <w:rPr>
          <w:rFonts w:ascii="仿宋_GB2312" w:eastAsia="仿宋_GB2312" w:hint="eastAsia"/>
          <w:sz w:val="28"/>
          <w:szCs w:val="28"/>
        </w:rPr>
        <w:lastRenderedPageBreak/>
        <w:t>本单位不在机关运行经费统计范围之内。</w:t>
      </w:r>
    </w:p>
    <w:p w:rsidR="00290AD9" w:rsidRDefault="007D2DC4" w:rsidP="00C72C6B">
      <w:pPr>
        <w:spacing w:line="560" w:lineRule="exact"/>
        <w:ind w:left="540"/>
        <w:rPr>
          <w:rFonts w:ascii="黑体" w:eastAsia="黑体"/>
          <w:sz w:val="28"/>
          <w:szCs w:val="28"/>
        </w:rPr>
      </w:pPr>
      <w:r>
        <w:rPr>
          <w:rFonts w:ascii="黑体" w:eastAsia="黑体" w:hint="eastAsia"/>
          <w:sz w:val="28"/>
          <w:szCs w:val="28"/>
        </w:rPr>
        <w:t>三、政府采购支出情况</w:t>
      </w:r>
    </w:p>
    <w:p w:rsidR="00290AD9" w:rsidRDefault="007D2DC4" w:rsidP="00C72C6B">
      <w:pPr>
        <w:spacing w:line="560" w:lineRule="exact"/>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sz w:val="28"/>
          <w:szCs w:val="28"/>
        </w:rPr>
        <w:t>56.15</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56.15</w:t>
      </w:r>
      <w:r>
        <w:rPr>
          <w:rFonts w:ascii="仿宋_GB2312" w:eastAsia="仿宋_GB2312" w:hint="eastAsia"/>
          <w:sz w:val="28"/>
          <w:szCs w:val="28"/>
        </w:rPr>
        <w:t>万元。授予中小企业合同金额</w:t>
      </w:r>
      <w:r>
        <w:rPr>
          <w:rFonts w:ascii="仿宋_GB2312" w:eastAsia="仿宋_GB2312"/>
          <w:sz w:val="28"/>
          <w:szCs w:val="28"/>
        </w:rPr>
        <w:t>55.91</w:t>
      </w:r>
      <w:r>
        <w:rPr>
          <w:rFonts w:ascii="仿宋_GB2312" w:eastAsia="仿宋_GB2312" w:hint="eastAsia"/>
          <w:sz w:val="28"/>
          <w:szCs w:val="28"/>
        </w:rPr>
        <w:t>万元，占政府采购支出总额的</w:t>
      </w:r>
      <w:r>
        <w:rPr>
          <w:rFonts w:ascii="仿宋_GB2312" w:eastAsia="仿宋_GB2312"/>
          <w:sz w:val="28"/>
          <w:szCs w:val="28"/>
        </w:rPr>
        <w:t>99.5</w:t>
      </w:r>
      <w:r>
        <w:rPr>
          <w:rFonts w:ascii="仿宋_GB2312" w:eastAsia="仿宋_GB2312" w:hint="eastAsia"/>
          <w:sz w:val="28"/>
          <w:szCs w:val="28"/>
        </w:rPr>
        <w:t>7%</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27.42</w:t>
      </w:r>
      <w:r>
        <w:rPr>
          <w:rFonts w:ascii="仿宋_GB2312" w:eastAsia="仿宋_GB2312" w:hint="eastAsia"/>
          <w:sz w:val="28"/>
          <w:szCs w:val="28"/>
        </w:rPr>
        <w:t>万元，占政府采购支出总额的</w:t>
      </w:r>
      <w:r>
        <w:rPr>
          <w:rFonts w:ascii="仿宋_GB2312" w:eastAsia="仿宋_GB2312"/>
          <w:sz w:val="28"/>
          <w:szCs w:val="28"/>
        </w:rPr>
        <w:t>48.8</w:t>
      </w:r>
      <w:r>
        <w:rPr>
          <w:rFonts w:ascii="仿宋_GB2312" w:eastAsia="仿宋_GB2312" w:hint="eastAsia"/>
          <w:sz w:val="28"/>
          <w:szCs w:val="28"/>
        </w:rPr>
        <w:t>3%</w:t>
      </w:r>
      <w:r>
        <w:rPr>
          <w:rFonts w:ascii="仿宋_GB2312" w:eastAsia="仿宋_GB2312" w:hint="eastAsia"/>
          <w:sz w:val="28"/>
          <w:szCs w:val="28"/>
        </w:rPr>
        <w:t>。</w:t>
      </w:r>
    </w:p>
    <w:p w:rsidR="00290AD9" w:rsidRDefault="007D2DC4" w:rsidP="00C72C6B">
      <w:pPr>
        <w:spacing w:line="560" w:lineRule="exact"/>
        <w:ind w:firstLineChars="200" w:firstLine="560"/>
        <w:rPr>
          <w:rFonts w:ascii="黑体" w:eastAsia="黑体"/>
          <w:sz w:val="28"/>
          <w:szCs w:val="28"/>
          <w:highlight w:val="yellow"/>
        </w:rPr>
      </w:pPr>
      <w:r>
        <w:rPr>
          <w:rFonts w:ascii="黑体" w:eastAsia="黑体" w:hint="eastAsia"/>
          <w:sz w:val="28"/>
          <w:szCs w:val="28"/>
        </w:rPr>
        <w:t>四、国有资产占用情况</w:t>
      </w:r>
    </w:p>
    <w:p w:rsidR="00290AD9" w:rsidRDefault="007D2DC4" w:rsidP="00C72C6B">
      <w:pPr>
        <w:spacing w:line="560" w:lineRule="exact"/>
        <w:ind w:firstLineChars="200" w:firstLine="560"/>
        <w:rPr>
          <w:rFonts w:ascii="仿宋_GB2312" w:eastAsia="仿宋_GB2312"/>
          <w:sz w:val="32"/>
          <w:szCs w:val="32"/>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日，北京市药品监督管理局综合事务中心共有车辆</w:t>
      </w:r>
      <w:r>
        <w:rPr>
          <w:rFonts w:ascii="仿宋_GB2312" w:eastAsia="仿宋_GB2312" w:hint="eastAsia"/>
          <w:sz w:val="28"/>
          <w:szCs w:val="28"/>
        </w:rPr>
        <w:t>2</w:t>
      </w:r>
      <w:r>
        <w:rPr>
          <w:rFonts w:ascii="仿宋_GB2312" w:eastAsia="仿宋_GB2312" w:hint="eastAsia"/>
          <w:sz w:val="28"/>
          <w:szCs w:val="28"/>
        </w:rPr>
        <w:t>台，共计</w:t>
      </w:r>
      <w:r>
        <w:rPr>
          <w:rFonts w:ascii="仿宋_GB2312" w:eastAsia="仿宋_GB2312" w:hint="eastAsia"/>
          <w:sz w:val="28"/>
          <w:szCs w:val="28"/>
        </w:rPr>
        <w:t>34.15</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p>
    <w:p w:rsidR="00290AD9" w:rsidRDefault="007D2DC4" w:rsidP="00C72C6B">
      <w:pPr>
        <w:spacing w:line="560" w:lineRule="exact"/>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90AD9" w:rsidRDefault="007D2DC4" w:rsidP="00C72C6B">
      <w:pPr>
        <w:spacing w:line="560" w:lineRule="exact"/>
        <w:ind w:firstLineChars="192" w:firstLine="538"/>
        <w:rPr>
          <w:rFonts w:ascii="仿宋_GB2312" w:eastAsia="仿宋_GB2312"/>
          <w:sz w:val="28"/>
          <w:szCs w:val="28"/>
        </w:rPr>
      </w:pPr>
      <w:r>
        <w:rPr>
          <w:rFonts w:ascii="仿宋_GB2312" w:eastAsia="仿宋_GB2312" w:hint="eastAsia"/>
          <w:sz w:val="28"/>
          <w:szCs w:val="28"/>
        </w:rPr>
        <w:t>本单位不属于政府购买服务购买主</w:t>
      </w:r>
      <w:r>
        <w:rPr>
          <w:rFonts w:ascii="仿宋_GB2312" w:eastAsia="仿宋_GB2312" w:hint="eastAsia"/>
          <w:sz w:val="28"/>
          <w:szCs w:val="28"/>
        </w:rPr>
        <w:t>体。</w:t>
      </w:r>
    </w:p>
    <w:p w:rsidR="00290AD9" w:rsidRDefault="007D2DC4" w:rsidP="00C72C6B">
      <w:pPr>
        <w:spacing w:line="560" w:lineRule="exact"/>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90AD9" w:rsidRDefault="007D2DC4">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290AD9" w:rsidRDefault="007D2DC4">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290AD9" w:rsidRDefault="007D2DC4">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w:t>
      </w:r>
      <w:r>
        <w:rPr>
          <w:rFonts w:ascii="仿宋_GB2312" w:eastAsia="仿宋_GB2312" w:hAnsi="宋体" w:hint="eastAsia"/>
          <w:sz w:val="28"/>
          <w:szCs w:val="28"/>
        </w:rPr>
        <w:t>、保险费、安全奖励费等支出；公务接待费指单位按规定开支的各类公务接待（含外宾接待）支出。</w:t>
      </w:r>
    </w:p>
    <w:p w:rsidR="00290AD9" w:rsidRDefault="007D2DC4">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一般公共服务支出（类）市场监督管理事务（款）事业运行（项）：反映事业单位的基本支出。</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一般公共服务支出（类）市场监督管理事务（款）机关服务（项）：反映事业单位的人员经费支出。</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社会保障和就业支出（类）行政事业单位养老支出（款）事业单位离退休（项）：反映事业单位开支的离退休经费。</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lastRenderedPageBreak/>
        <w:t>11.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卫生健康支出（类）行政事业单位医疗（款）事业单位医疗（项）：反映财政部门安排的事</w:t>
      </w:r>
      <w:r>
        <w:rPr>
          <w:rFonts w:ascii="仿宋_GB2312" w:eastAsia="仿宋_GB2312" w:hint="eastAsia"/>
          <w:sz w:val="28"/>
          <w:szCs w:val="28"/>
        </w:rPr>
        <w:t>业单位基本医疗保险缴费经费，未参加医疗保险的事业单位的公费医疗经费，按国家规定享受离休人员待遇人员的医疗经费。</w:t>
      </w:r>
    </w:p>
    <w:p w:rsidR="00290AD9" w:rsidRDefault="007D2DC4" w:rsidP="00C71522">
      <w:pPr>
        <w:ind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卫生健康支出（类）行政事业单位医疗（款）公务员医疗补助（项）：反映财政部门安排的公务员医疗补助经费。</w:t>
      </w:r>
    </w:p>
    <w:p w:rsidR="00290AD9" w:rsidRDefault="00290AD9" w:rsidP="00C3141D">
      <w:pPr>
        <w:ind w:firstLineChars="150" w:firstLine="422"/>
        <w:rPr>
          <w:rFonts w:ascii="仿宋_GB2312" w:eastAsia="仿宋_GB2312"/>
          <w:b/>
          <w:bCs/>
          <w:sz w:val="28"/>
          <w:szCs w:val="28"/>
        </w:rPr>
      </w:pPr>
    </w:p>
    <w:p w:rsidR="00290AD9" w:rsidRDefault="00290AD9">
      <w:pPr>
        <w:rPr>
          <w:rFonts w:ascii="仿宋_GB2312" w:eastAsia="仿宋_GB2312"/>
          <w:sz w:val="28"/>
          <w:szCs w:val="28"/>
        </w:rPr>
      </w:pPr>
    </w:p>
    <w:p w:rsidR="00290AD9" w:rsidRDefault="00290AD9">
      <w:pPr>
        <w:ind w:firstLineChars="200" w:firstLine="640"/>
        <w:jc w:val="center"/>
        <w:rPr>
          <w:rFonts w:ascii="黑体" w:eastAsia="黑体"/>
          <w:sz w:val="32"/>
          <w:szCs w:val="32"/>
        </w:rPr>
      </w:pPr>
    </w:p>
    <w:p w:rsidR="00290AD9" w:rsidRDefault="00290AD9">
      <w:pPr>
        <w:ind w:firstLineChars="200" w:firstLine="640"/>
        <w:jc w:val="center"/>
        <w:rPr>
          <w:rFonts w:ascii="黑体" w:eastAsia="黑体"/>
          <w:sz w:val="32"/>
          <w:szCs w:val="32"/>
        </w:rPr>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290AD9">
      <w:pPr>
        <w:pStyle w:val="a0"/>
        <w:ind w:firstLine="420"/>
      </w:pPr>
    </w:p>
    <w:p w:rsidR="00290AD9" w:rsidRDefault="007D2DC4">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2023</w:t>
      </w:r>
      <w:r>
        <w:rPr>
          <w:rFonts w:ascii="黑体" w:eastAsia="黑体" w:hint="eastAsia"/>
          <w:sz w:val="32"/>
          <w:szCs w:val="32"/>
        </w:rPr>
        <w:t>年度绩效评价情况</w:t>
      </w:r>
    </w:p>
    <w:p w:rsidR="00290AD9" w:rsidRDefault="007D2DC4">
      <w:pPr>
        <w:ind w:firstLineChars="200" w:firstLine="560"/>
        <w:rPr>
          <w:rFonts w:ascii="黑体" w:eastAsia="黑体"/>
          <w:sz w:val="28"/>
          <w:szCs w:val="28"/>
        </w:rPr>
      </w:pPr>
      <w:r>
        <w:rPr>
          <w:rFonts w:ascii="黑体" w:eastAsia="黑体" w:hint="eastAsia"/>
          <w:sz w:val="28"/>
          <w:szCs w:val="28"/>
        </w:rPr>
        <w:t>一、项目支出绩效自评表</w:t>
      </w:r>
    </w:p>
    <w:tbl>
      <w:tblPr>
        <w:tblW w:w="14540" w:type="dxa"/>
        <w:tblInd w:w="93" w:type="dxa"/>
        <w:tblLook w:val="04A0" w:firstRow="1" w:lastRow="0" w:firstColumn="1" w:lastColumn="0" w:noHBand="0" w:noVBand="1"/>
      </w:tblPr>
      <w:tblGrid>
        <w:gridCol w:w="560"/>
        <w:gridCol w:w="1240"/>
        <w:gridCol w:w="1540"/>
        <w:gridCol w:w="1280"/>
        <w:gridCol w:w="980"/>
        <w:gridCol w:w="227"/>
        <w:gridCol w:w="1073"/>
        <w:gridCol w:w="1500"/>
        <w:gridCol w:w="1700"/>
        <w:gridCol w:w="1160"/>
        <w:gridCol w:w="1240"/>
        <w:gridCol w:w="2040"/>
      </w:tblGrid>
      <w:tr w:rsidR="00290AD9">
        <w:trPr>
          <w:trHeight w:val="270"/>
        </w:trPr>
        <w:tc>
          <w:tcPr>
            <w:tcW w:w="4620" w:type="dxa"/>
            <w:gridSpan w:val="4"/>
            <w:tcBorders>
              <w:top w:val="nil"/>
              <w:left w:val="nil"/>
              <w:bottom w:val="nil"/>
              <w:right w:val="nil"/>
            </w:tcBorders>
            <w:shd w:val="clear" w:color="auto" w:fill="auto"/>
            <w:vAlign w:val="center"/>
          </w:tcPr>
          <w:p w:rsidR="00290AD9" w:rsidRDefault="00290AD9">
            <w:pPr>
              <w:widowControl/>
              <w:rPr>
                <w:rFonts w:ascii="宋体" w:hAnsi="宋体" w:cs="宋体"/>
                <w:color w:val="000000"/>
                <w:kern w:val="0"/>
                <w:sz w:val="20"/>
                <w:szCs w:val="20"/>
              </w:rPr>
            </w:pPr>
          </w:p>
        </w:tc>
        <w:tc>
          <w:tcPr>
            <w:tcW w:w="980" w:type="dxa"/>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c>
          <w:tcPr>
            <w:tcW w:w="1300" w:type="dxa"/>
            <w:gridSpan w:val="2"/>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c>
          <w:tcPr>
            <w:tcW w:w="1500" w:type="dxa"/>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c>
          <w:tcPr>
            <w:tcW w:w="1700" w:type="dxa"/>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c>
          <w:tcPr>
            <w:tcW w:w="1160" w:type="dxa"/>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c>
          <w:tcPr>
            <w:tcW w:w="1240" w:type="dxa"/>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c>
          <w:tcPr>
            <w:tcW w:w="2040" w:type="dxa"/>
            <w:tcBorders>
              <w:top w:val="nil"/>
              <w:left w:val="nil"/>
              <w:bottom w:val="nil"/>
              <w:right w:val="nil"/>
            </w:tcBorders>
            <w:shd w:val="clear" w:color="auto" w:fill="auto"/>
            <w:vAlign w:val="center"/>
          </w:tcPr>
          <w:p w:rsidR="00290AD9" w:rsidRDefault="00290AD9">
            <w:pPr>
              <w:widowControl/>
              <w:jc w:val="center"/>
              <w:rPr>
                <w:rFonts w:ascii="宋体" w:hAnsi="宋体" w:cs="宋体"/>
                <w:color w:val="000000"/>
                <w:kern w:val="0"/>
                <w:sz w:val="22"/>
                <w:szCs w:val="22"/>
              </w:rPr>
            </w:pPr>
          </w:p>
        </w:tc>
      </w:tr>
      <w:tr w:rsidR="00290AD9">
        <w:trPr>
          <w:trHeight w:val="405"/>
        </w:trPr>
        <w:tc>
          <w:tcPr>
            <w:tcW w:w="14540" w:type="dxa"/>
            <w:gridSpan w:val="12"/>
            <w:tcBorders>
              <w:top w:val="nil"/>
              <w:left w:val="nil"/>
              <w:bottom w:val="nil"/>
              <w:right w:val="nil"/>
            </w:tcBorders>
            <w:shd w:val="clear" w:color="auto" w:fill="auto"/>
            <w:vAlign w:val="center"/>
          </w:tcPr>
          <w:p w:rsidR="00DF2955" w:rsidRDefault="00DF2955">
            <w:pPr>
              <w:widowControl/>
              <w:jc w:val="center"/>
              <w:rPr>
                <w:rFonts w:ascii="宋体" w:hAnsi="宋体" w:cs="宋体" w:hint="eastAsia"/>
                <w:b/>
                <w:bCs/>
                <w:color w:val="000000"/>
                <w:kern w:val="0"/>
                <w:sz w:val="32"/>
                <w:szCs w:val="32"/>
              </w:rPr>
            </w:pPr>
          </w:p>
          <w:p w:rsidR="00290AD9" w:rsidRDefault="007D2DC4">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r>
              <w:rPr>
                <w:rFonts w:ascii="宋体" w:hAnsi="宋体" w:cs="宋体" w:hint="eastAsia"/>
                <w:color w:val="000000"/>
                <w:kern w:val="0"/>
                <w:sz w:val="32"/>
                <w:szCs w:val="32"/>
              </w:rPr>
              <w:t xml:space="preserve"> </w:t>
            </w:r>
          </w:p>
        </w:tc>
      </w:tr>
      <w:tr w:rsidR="00290AD9">
        <w:trPr>
          <w:trHeight w:val="435"/>
        </w:trPr>
        <w:tc>
          <w:tcPr>
            <w:tcW w:w="14540" w:type="dxa"/>
            <w:gridSpan w:val="12"/>
            <w:tcBorders>
              <w:top w:val="nil"/>
              <w:left w:val="nil"/>
              <w:bottom w:val="nil"/>
              <w:right w:val="nil"/>
            </w:tcBorders>
            <w:shd w:val="clear" w:color="auto" w:fill="auto"/>
            <w:vAlign w:val="center"/>
          </w:tcPr>
          <w:p w:rsidR="00290AD9" w:rsidRDefault="007D2DC4">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2023</w:t>
            </w:r>
            <w:r>
              <w:rPr>
                <w:rFonts w:ascii="宋体" w:hAnsi="宋体" w:cs="宋体" w:hint="eastAsia"/>
                <w:color w:val="000000"/>
                <w:kern w:val="0"/>
                <w:sz w:val="22"/>
                <w:szCs w:val="22"/>
              </w:rPr>
              <w:t>年度）</w:t>
            </w:r>
          </w:p>
        </w:tc>
      </w:tr>
      <w:tr w:rsidR="00290AD9">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1200" w:type="dxa"/>
            <w:gridSpan w:val="9"/>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综合保障类项目</w:t>
            </w:r>
          </w:p>
        </w:tc>
      </w:tr>
      <w:tr w:rsidR="00290AD9">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060" w:type="dxa"/>
            <w:gridSpan w:val="5"/>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w:t>
            </w:r>
            <w:r>
              <w:rPr>
                <w:rFonts w:ascii="宋体" w:hAnsi="宋体" w:cs="宋体" w:hint="eastAsia"/>
                <w:color w:val="000000"/>
                <w:kern w:val="0"/>
                <w:sz w:val="20"/>
                <w:szCs w:val="20"/>
              </w:rPr>
              <w:t>066</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440"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066030-</w:t>
            </w:r>
            <w:r>
              <w:rPr>
                <w:rFonts w:ascii="宋体" w:hAnsi="宋体" w:cs="宋体" w:hint="eastAsia"/>
                <w:color w:val="000000"/>
                <w:kern w:val="0"/>
                <w:sz w:val="20"/>
                <w:szCs w:val="20"/>
              </w:rPr>
              <w:t>北京市药品监督管理局综合事务中心</w:t>
            </w:r>
          </w:p>
        </w:tc>
      </w:tr>
      <w:tr w:rsidR="00290AD9">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060" w:type="dxa"/>
            <w:gridSpan w:val="5"/>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吴洁</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4440"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55527014</w:t>
            </w:r>
          </w:p>
        </w:tc>
      </w:tr>
      <w:tr w:rsidR="00290AD9">
        <w:trPr>
          <w:trHeight w:val="600"/>
        </w:trPr>
        <w:tc>
          <w:tcPr>
            <w:tcW w:w="3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0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249.58</w:t>
            </w:r>
          </w:p>
        </w:tc>
        <w:tc>
          <w:tcPr>
            <w:tcW w:w="15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233.58</w:t>
            </w:r>
          </w:p>
        </w:tc>
        <w:tc>
          <w:tcPr>
            <w:tcW w:w="17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188.817228 </w:t>
            </w:r>
          </w:p>
        </w:tc>
        <w:tc>
          <w:tcPr>
            <w:tcW w:w="116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80.84%</w:t>
            </w:r>
          </w:p>
        </w:tc>
        <w:tc>
          <w:tcPr>
            <w:tcW w:w="20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8.08 </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244.21</w:t>
            </w:r>
          </w:p>
        </w:tc>
        <w:tc>
          <w:tcPr>
            <w:tcW w:w="15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228.21</w:t>
            </w:r>
          </w:p>
        </w:tc>
        <w:tc>
          <w:tcPr>
            <w:tcW w:w="17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184.092148 </w:t>
            </w:r>
          </w:p>
        </w:tc>
        <w:tc>
          <w:tcPr>
            <w:tcW w:w="116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上年结转资金</w:t>
            </w:r>
          </w:p>
        </w:tc>
        <w:tc>
          <w:tcPr>
            <w:tcW w:w="130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5.37 </w:t>
            </w:r>
          </w:p>
        </w:tc>
        <w:tc>
          <w:tcPr>
            <w:tcW w:w="15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5.37 </w:t>
            </w:r>
          </w:p>
        </w:tc>
        <w:tc>
          <w:tcPr>
            <w:tcW w:w="17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 xml:space="preserve">4.725080 </w:t>
            </w:r>
          </w:p>
        </w:tc>
        <w:tc>
          <w:tcPr>
            <w:tcW w:w="116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290AD9">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840" w:type="dxa"/>
            <w:gridSpan w:val="7"/>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6140" w:type="dxa"/>
            <w:gridSpan w:val="4"/>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90AD9">
        <w:trPr>
          <w:trHeight w:val="1328"/>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7840" w:type="dxa"/>
            <w:gridSpan w:val="7"/>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spacing w:line="300" w:lineRule="exact"/>
              <w:jc w:val="left"/>
              <w:rPr>
                <w:rFonts w:ascii="宋体" w:hAnsi="宋体" w:cs="宋体"/>
                <w:color w:val="000000"/>
                <w:kern w:val="0"/>
                <w:sz w:val="20"/>
                <w:szCs w:val="20"/>
              </w:rPr>
            </w:pPr>
            <w:r>
              <w:rPr>
                <w:rFonts w:ascii="宋体" w:hAnsi="宋体" w:cs="宋体" w:hint="eastAsia"/>
                <w:color w:val="000000"/>
                <w:kern w:val="0"/>
                <w:sz w:val="20"/>
                <w:szCs w:val="20"/>
              </w:rPr>
              <w:t>做好局内重大会议、培训服务保障工作。完成文件交换、卫生保洁消毒、值班保障、车辆管理、安全保障，电梯消防及控制系统维保、办公监控系统、办公设备及日常办公区域维修维护，集中办公管理、财务管理、资产管理、机关及下属单位维护修缮等后勤服务保障任务，进一步完善后勤服务工作，提升服务质量。</w:t>
            </w:r>
          </w:p>
        </w:tc>
        <w:tc>
          <w:tcPr>
            <w:tcW w:w="6140" w:type="dxa"/>
            <w:gridSpan w:val="4"/>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spacing w:line="300" w:lineRule="exact"/>
              <w:jc w:val="center"/>
              <w:rPr>
                <w:rFonts w:ascii="宋体" w:hAnsi="宋体" w:cs="宋体"/>
                <w:color w:val="000000"/>
                <w:kern w:val="0"/>
                <w:sz w:val="20"/>
                <w:szCs w:val="20"/>
              </w:rPr>
            </w:pPr>
            <w:r>
              <w:rPr>
                <w:rFonts w:ascii="宋体" w:hAnsi="宋体" w:cs="宋体" w:hint="eastAsia"/>
                <w:color w:val="000000"/>
                <w:kern w:val="0"/>
                <w:sz w:val="20"/>
                <w:szCs w:val="20"/>
              </w:rPr>
              <w:t>做好局内重大会议、培训服务保障工作。完成了文件交换、卫生保洁消毒、值班保障、车辆管理、安全保障，电梯消防及控制系统维保、办公监控系统、办公设备及日常办公区域维修维护，集中办公管理、财务管理、资产管理、机关及下属单位维护修缮等后勤服务</w:t>
            </w:r>
            <w:r>
              <w:rPr>
                <w:rFonts w:ascii="宋体" w:hAnsi="宋体" w:cs="宋体" w:hint="eastAsia"/>
                <w:color w:val="000000"/>
                <w:kern w:val="0"/>
                <w:sz w:val="20"/>
                <w:szCs w:val="20"/>
              </w:rPr>
              <w:t>保障任务。</w:t>
            </w:r>
          </w:p>
        </w:tc>
      </w:tr>
      <w:tr w:rsidR="00290AD9">
        <w:trPr>
          <w:trHeight w:val="553"/>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绩效指标</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487"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20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90AD9">
        <w:trPr>
          <w:trHeight w:val="636"/>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r>
              <w:rPr>
                <w:rFonts w:ascii="宋体" w:hAnsi="宋体" w:cs="宋体" w:hint="eastAsia"/>
                <w:color w:val="000000"/>
                <w:kern w:val="0"/>
                <w:sz w:val="20"/>
                <w:szCs w:val="20"/>
              </w:rPr>
              <w:br/>
            </w:r>
            <w:r>
              <w:rPr>
                <w:rFonts w:ascii="宋体" w:hAnsi="宋体" w:cs="宋体" w:hint="eastAsia"/>
                <w:color w:val="000000"/>
                <w:kern w:val="0"/>
                <w:sz w:val="20"/>
                <w:szCs w:val="20"/>
              </w:rPr>
              <w:t>（</w:t>
            </w:r>
            <w:r>
              <w:rPr>
                <w:rFonts w:ascii="宋体" w:hAnsi="宋体" w:cs="宋体" w:hint="eastAsia"/>
                <w:color w:val="000000"/>
                <w:kern w:val="0"/>
                <w:sz w:val="20"/>
                <w:szCs w:val="20"/>
              </w:rPr>
              <w:t>40</w:t>
            </w:r>
            <w:r>
              <w:rPr>
                <w:rFonts w:ascii="宋体" w:hAnsi="宋体" w:cs="宋体" w:hint="eastAsia"/>
                <w:color w:val="000000"/>
                <w:kern w:val="0"/>
                <w:sz w:val="20"/>
                <w:szCs w:val="20"/>
              </w:rPr>
              <w:t>分）</w:t>
            </w:r>
          </w:p>
        </w:tc>
        <w:tc>
          <w:tcPr>
            <w:tcW w:w="15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87"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spacing w:line="300" w:lineRule="exact"/>
              <w:jc w:val="center"/>
              <w:rPr>
                <w:rFonts w:ascii="宋体" w:hAnsi="宋体" w:cs="宋体"/>
                <w:color w:val="000000"/>
                <w:kern w:val="0"/>
                <w:sz w:val="20"/>
                <w:szCs w:val="20"/>
              </w:rPr>
            </w:pPr>
            <w:r>
              <w:rPr>
                <w:rFonts w:ascii="宋体" w:hAnsi="宋体" w:cs="宋体" w:hint="eastAsia"/>
                <w:color w:val="000000"/>
                <w:kern w:val="0"/>
                <w:sz w:val="20"/>
                <w:szCs w:val="20"/>
              </w:rPr>
              <w:t>办公和老干部活动设施设备</w:t>
            </w:r>
            <w:proofErr w:type="gramStart"/>
            <w:r>
              <w:rPr>
                <w:rFonts w:ascii="宋体" w:hAnsi="宋体" w:cs="宋体" w:hint="eastAsia"/>
                <w:color w:val="000000"/>
                <w:kern w:val="0"/>
                <w:sz w:val="20"/>
                <w:szCs w:val="20"/>
              </w:rPr>
              <w:t>维修维保次数</w:t>
            </w:r>
            <w:proofErr w:type="gramEnd"/>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w:t>
            </w:r>
            <w:r>
              <w:rPr>
                <w:rFonts w:ascii="宋体" w:hAnsi="宋体" w:cs="宋体" w:hint="eastAsia"/>
                <w:color w:val="000000"/>
                <w:kern w:val="0"/>
                <w:sz w:val="20"/>
                <w:szCs w:val="20"/>
              </w:rPr>
              <w:t>次</w:t>
            </w:r>
          </w:p>
        </w:tc>
        <w:tc>
          <w:tcPr>
            <w:tcW w:w="170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次</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20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600"/>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87"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办公和老干部活动设施设备故障处理率</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95%</w:t>
            </w:r>
          </w:p>
        </w:tc>
        <w:tc>
          <w:tcPr>
            <w:tcW w:w="170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20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19"/>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87"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后勤服务保障期</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70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0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1751"/>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设施设备</w:t>
            </w:r>
            <w:proofErr w:type="gramStart"/>
            <w:r>
              <w:rPr>
                <w:rFonts w:ascii="宋体" w:hAnsi="宋体" w:cs="宋体" w:hint="eastAsia"/>
                <w:color w:val="000000"/>
                <w:kern w:val="0"/>
                <w:sz w:val="20"/>
                <w:szCs w:val="20"/>
              </w:rPr>
              <w:t>维修维保项目</w:t>
            </w:r>
            <w:proofErr w:type="gramEnd"/>
            <w:r>
              <w:rPr>
                <w:rFonts w:ascii="宋体" w:hAnsi="宋体" w:cs="宋体" w:hint="eastAsia"/>
                <w:color w:val="000000"/>
                <w:kern w:val="0"/>
                <w:sz w:val="20"/>
                <w:szCs w:val="20"/>
              </w:rPr>
              <w:t>预算控制数</w:t>
            </w:r>
          </w:p>
        </w:tc>
        <w:tc>
          <w:tcPr>
            <w:tcW w:w="25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37.38</w:t>
            </w:r>
            <w:r>
              <w:rPr>
                <w:rFonts w:ascii="宋体" w:hAnsi="宋体" w:cs="宋体" w:hint="eastAsia"/>
                <w:color w:val="000000"/>
                <w:kern w:val="0"/>
                <w:sz w:val="20"/>
                <w:szCs w:val="20"/>
              </w:rPr>
              <w:t>万元</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br/>
              <w:t>20.803282</w:t>
            </w:r>
            <w:r>
              <w:rPr>
                <w:rFonts w:ascii="宋体" w:hAnsi="宋体" w:cs="宋体" w:hint="eastAsia"/>
                <w:kern w:val="0"/>
                <w:sz w:val="20"/>
                <w:szCs w:val="20"/>
              </w:rPr>
              <w:t>万元</w:t>
            </w:r>
            <w:r>
              <w:rPr>
                <w:rFonts w:ascii="宋体" w:hAnsi="宋体" w:cs="宋体" w:hint="eastAsia"/>
                <w:kern w:val="0"/>
                <w:sz w:val="20"/>
                <w:szCs w:val="20"/>
              </w:rPr>
              <w:br/>
              <w:t xml:space="preserve"> </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2.78</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spacing w:line="300" w:lineRule="exact"/>
              <w:jc w:val="left"/>
              <w:rPr>
                <w:rFonts w:ascii="宋体" w:hAnsi="宋体" w:cs="宋体"/>
                <w:kern w:val="0"/>
                <w:sz w:val="20"/>
                <w:szCs w:val="20"/>
              </w:rPr>
            </w:pPr>
            <w:r>
              <w:rPr>
                <w:rFonts w:ascii="宋体" w:hAnsi="宋体" w:cs="宋体" w:hint="eastAsia"/>
                <w:kern w:val="0"/>
                <w:sz w:val="20"/>
                <w:szCs w:val="20"/>
              </w:rPr>
              <w:t>进一步落实过紧日子原则，压减设备运维费等一般性支出。下一步将结合设备维修实际支出情况，进一步提高预算编制精细化水平。</w:t>
            </w:r>
          </w:p>
        </w:tc>
      </w:tr>
      <w:tr w:rsidR="00290AD9">
        <w:trPr>
          <w:trHeight w:val="799"/>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single" w:sz="4" w:space="0" w:color="auto"/>
              <w:left w:val="single" w:sz="4" w:space="0" w:color="auto"/>
              <w:bottom w:val="single" w:sz="4" w:space="0" w:color="000000"/>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87"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项目预算控制数</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249.58</w:t>
            </w:r>
            <w:r>
              <w:rPr>
                <w:rFonts w:ascii="宋体" w:hAnsi="宋体" w:cs="宋体" w:hint="eastAsia"/>
                <w:kern w:val="0"/>
                <w:sz w:val="20"/>
                <w:szCs w:val="20"/>
              </w:rPr>
              <w:t>万元</w:t>
            </w:r>
          </w:p>
        </w:tc>
        <w:tc>
          <w:tcPr>
            <w:tcW w:w="170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188.817228</w:t>
            </w:r>
            <w:r>
              <w:rPr>
                <w:rFonts w:ascii="宋体" w:hAnsi="宋体" w:cs="宋体" w:hint="eastAsia"/>
                <w:kern w:val="0"/>
                <w:sz w:val="20"/>
                <w:szCs w:val="20"/>
              </w:rPr>
              <w:t>万元</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3.79</w:t>
            </w:r>
          </w:p>
        </w:tc>
        <w:tc>
          <w:tcPr>
            <w:tcW w:w="2040" w:type="dxa"/>
            <w:tcBorders>
              <w:top w:val="single" w:sz="4" w:space="0" w:color="auto"/>
              <w:left w:val="nil"/>
              <w:bottom w:val="nil"/>
              <w:right w:val="single" w:sz="4" w:space="0" w:color="auto"/>
            </w:tcBorders>
            <w:shd w:val="clear" w:color="auto" w:fill="auto"/>
            <w:vAlign w:val="center"/>
          </w:tcPr>
          <w:p w:rsidR="00290AD9" w:rsidRDefault="007D2DC4">
            <w:pPr>
              <w:widowControl/>
              <w:spacing w:line="300" w:lineRule="exact"/>
              <w:jc w:val="left"/>
              <w:rPr>
                <w:rFonts w:ascii="宋体" w:hAnsi="宋体" w:cs="宋体"/>
                <w:kern w:val="0"/>
                <w:sz w:val="20"/>
                <w:szCs w:val="20"/>
              </w:rPr>
            </w:pPr>
            <w:r>
              <w:rPr>
                <w:rFonts w:ascii="宋体" w:hAnsi="宋体" w:cs="宋体" w:hint="eastAsia"/>
                <w:kern w:val="0"/>
                <w:sz w:val="20"/>
                <w:szCs w:val="20"/>
              </w:rPr>
              <w:t>进一步落实过紧日子原则，压减公务用车运维等一般性支出。下一步将结合公车实际使用情况，进一步提高预算编制精细化水平。</w:t>
            </w:r>
          </w:p>
        </w:tc>
      </w:tr>
      <w:tr w:rsidR="00290AD9">
        <w:trPr>
          <w:trHeight w:val="517"/>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540" w:type="dxa"/>
            <w:tcBorders>
              <w:top w:val="nil"/>
              <w:left w:val="nil"/>
              <w:bottom w:val="nil"/>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87" w:type="dxa"/>
            <w:gridSpan w:val="3"/>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机关及所属单位正常履职</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得到保障</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得到保障</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20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11"/>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可持续影响指标</w:t>
            </w:r>
          </w:p>
        </w:tc>
        <w:tc>
          <w:tcPr>
            <w:tcW w:w="2487" w:type="dxa"/>
            <w:gridSpan w:val="3"/>
            <w:tcBorders>
              <w:top w:val="single" w:sz="4" w:space="0" w:color="auto"/>
              <w:left w:val="nil"/>
              <w:bottom w:val="single" w:sz="4" w:space="0" w:color="auto"/>
              <w:right w:val="single" w:sz="4" w:space="0" w:color="000000"/>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综合服务保障能力</w:t>
            </w:r>
          </w:p>
        </w:tc>
        <w:tc>
          <w:tcPr>
            <w:tcW w:w="2573" w:type="dxa"/>
            <w:gridSpan w:val="2"/>
            <w:tcBorders>
              <w:top w:val="single" w:sz="4" w:space="0" w:color="auto"/>
              <w:left w:val="nil"/>
              <w:bottom w:val="single" w:sz="4" w:space="0" w:color="auto"/>
              <w:right w:val="single" w:sz="4" w:space="0" w:color="000000"/>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2040"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395"/>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服务对象满意度指标</w:t>
            </w:r>
          </w:p>
        </w:tc>
        <w:tc>
          <w:tcPr>
            <w:tcW w:w="2487" w:type="dxa"/>
            <w:gridSpan w:val="3"/>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局机关及所属事业单位对综合服务保障满意度</w:t>
            </w:r>
          </w:p>
        </w:tc>
        <w:tc>
          <w:tcPr>
            <w:tcW w:w="2573"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95%</w:t>
            </w:r>
          </w:p>
        </w:tc>
        <w:tc>
          <w:tcPr>
            <w:tcW w:w="17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98%</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040"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02"/>
        </w:trPr>
        <w:tc>
          <w:tcPr>
            <w:tcW w:w="10100"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290AD9" w:rsidRDefault="007D2DC4">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94.65 </w:t>
            </w:r>
          </w:p>
        </w:tc>
        <w:tc>
          <w:tcPr>
            <w:tcW w:w="2040"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 xml:space="preserve">　</w:t>
            </w:r>
          </w:p>
        </w:tc>
      </w:tr>
    </w:tbl>
    <w:p w:rsidR="00290AD9" w:rsidRDefault="00290AD9">
      <w:pPr>
        <w:pStyle w:val="2"/>
        <w:ind w:firstLine="560"/>
      </w:pPr>
      <w:bookmarkStart w:id="0" w:name="_GoBack"/>
    </w:p>
    <w:bookmarkEnd w:id="0"/>
    <w:p w:rsidR="00290AD9" w:rsidRDefault="00290AD9"/>
    <w:tbl>
      <w:tblPr>
        <w:tblW w:w="14616" w:type="dxa"/>
        <w:tblInd w:w="93" w:type="dxa"/>
        <w:tblLook w:val="04A0" w:firstRow="1" w:lastRow="0" w:firstColumn="1" w:lastColumn="0" w:noHBand="0" w:noVBand="1"/>
      </w:tblPr>
      <w:tblGrid>
        <w:gridCol w:w="560"/>
        <w:gridCol w:w="1240"/>
        <w:gridCol w:w="1540"/>
        <w:gridCol w:w="2260"/>
        <w:gridCol w:w="227"/>
        <w:gridCol w:w="1073"/>
        <w:gridCol w:w="1500"/>
        <w:gridCol w:w="1680"/>
        <w:gridCol w:w="620"/>
        <w:gridCol w:w="1160"/>
        <w:gridCol w:w="1240"/>
        <w:gridCol w:w="1516"/>
      </w:tblGrid>
      <w:tr w:rsidR="00290AD9">
        <w:trPr>
          <w:trHeight w:val="405"/>
        </w:trPr>
        <w:tc>
          <w:tcPr>
            <w:tcW w:w="14616" w:type="dxa"/>
            <w:gridSpan w:val="12"/>
            <w:tcBorders>
              <w:top w:val="nil"/>
              <w:left w:val="nil"/>
              <w:bottom w:val="nil"/>
              <w:right w:val="nil"/>
            </w:tcBorders>
            <w:shd w:val="clear" w:color="auto" w:fill="auto"/>
            <w:vAlign w:val="center"/>
          </w:tcPr>
          <w:p w:rsidR="00290AD9" w:rsidRDefault="007D2DC4">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r>
              <w:rPr>
                <w:rFonts w:ascii="宋体" w:hAnsi="宋体" w:cs="宋体" w:hint="eastAsia"/>
                <w:color w:val="000000"/>
                <w:kern w:val="0"/>
                <w:sz w:val="32"/>
                <w:szCs w:val="32"/>
              </w:rPr>
              <w:t xml:space="preserve"> </w:t>
            </w:r>
          </w:p>
        </w:tc>
      </w:tr>
      <w:tr w:rsidR="00290AD9">
        <w:trPr>
          <w:trHeight w:val="435"/>
        </w:trPr>
        <w:tc>
          <w:tcPr>
            <w:tcW w:w="14616" w:type="dxa"/>
            <w:gridSpan w:val="12"/>
            <w:tcBorders>
              <w:top w:val="nil"/>
              <w:left w:val="nil"/>
              <w:bottom w:val="nil"/>
              <w:right w:val="nil"/>
            </w:tcBorders>
            <w:shd w:val="clear" w:color="auto" w:fill="auto"/>
            <w:vAlign w:val="center"/>
          </w:tcPr>
          <w:p w:rsidR="00290AD9" w:rsidRDefault="007D2DC4">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2023</w:t>
            </w:r>
            <w:r>
              <w:rPr>
                <w:rFonts w:ascii="宋体" w:hAnsi="宋体" w:cs="宋体" w:hint="eastAsia"/>
                <w:color w:val="000000"/>
                <w:kern w:val="0"/>
                <w:sz w:val="22"/>
                <w:szCs w:val="22"/>
              </w:rPr>
              <w:t>年度）</w:t>
            </w:r>
          </w:p>
        </w:tc>
      </w:tr>
      <w:tr w:rsidR="00290AD9">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1276" w:type="dxa"/>
            <w:gridSpan w:val="9"/>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办公用房租赁类项目</w:t>
            </w:r>
          </w:p>
        </w:tc>
      </w:tr>
      <w:tr w:rsidR="00290AD9">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060" w:type="dxa"/>
            <w:gridSpan w:val="4"/>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w:t>
            </w:r>
            <w:r>
              <w:rPr>
                <w:rFonts w:ascii="宋体" w:hAnsi="宋体" w:cs="宋体" w:hint="eastAsia"/>
                <w:color w:val="000000"/>
                <w:kern w:val="0"/>
                <w:sz w:val="20"/>
                <w:szCs w:val="20"/>
              </w:rPr>
              <w:t>066</w:t>
            </w:r>
          </w:p>
        </w:tc>
        <w:tc>
          <w:tcPr>
            <w:tcW w:w="168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536" w:type="dxa"/>
            <w:gridSpan w:val="4"/>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066030-</w:t>
            </w:r>
            <w:r>
              <w:rPr>
                <w:rFonts w:ascii="宋体" w:hAnsi="宋体" w:cs="宋体" w:hint="eastAsia"/>
                <w:color w:val="000000"/>
                <w:kern w:val="0"/>
                <w:sz w:val="20"/>
                <w:szCs w:val="20"/>
              </w:rPr>
              <w:t>北京市药品监督管理局综合事务中心</w:t>
            </w:r>
          </w:p>
        </w:tc>
      </w:tr>
      <w:tr w:rsidR="00290AD9">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060" w:type="dxa"/>
            <w:gridSpan w:val="4"/>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吴洁</w:t>
            </w:r>
          </w:p>
        </w:tc>
        <w:tc>
          <w:tcPr>
            <w:tcW w:w="168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4536" w:type="dxa"/>
            <w:gridSpan w:val="4"/>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55527014</w:t>
            </w:r>
          </w:p>
        </w:tc>
      </w:tr>
      <w:tr w:rsidR="00290AD9">
        <w:trPr>
          <w:trHeight w:val="600"/>
        </w:trPr>
        <w:tc>
          <w:tcPr>
            <w:tcW w:w="3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22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68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78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210.92</w:t>
            </w:r>
          </w:p>
        </w:tc>
        <w:tc>
          <w:tcPr>
            <w:tcW w:w="15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210.92</w:t>
            </w:r>
          </w:p>
        </w:tc>
        <w:tc>
          <w:tcPr>
            <w:tcW w:w="168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210.92</w:t>
            </w:r>
          </w:p>
        </w:tc>
        <w:tc>
          <w:tcPr>
            <w:tcW w:w="178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16"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210.92</w:t>
            </w:r>
          </w:p>
        </w:tc>
        <w:tc>
          <w:tcPr>
            <w:tcW w:w="15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210.92</w:t>
            </w:r>
          </w:p>
        </w:tc>
        <w:tc>
          <w:tcPr>
            <w:tcW w:w="168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210.92</w:t>
            </w:r>
          </w:p>
        </w:tc>
        <w:tc>
          <w:tcPr>
            <w:tcW w:w="178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16"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上年结转资金</w:t>
            </w:r>
          </w:p>
        </w:tc>
        <w:tc>
          <w:tcPr>
            <w:tcW w:w="130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8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16" w:type="dxa"/>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290AD9">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80" w:type="dxa"/>
            <w:gridSpan w:val="2"/>
            <w:tcBorders>
              <w:top w:val="nil"/>
              <w:left w:val="nil"/>
              <w:bottom w:val="single" w:sz="4" w:space="0" w:color="auto"/>
              <w:right w:val="single" w:sz="4" w:space="0" w:color="auto"/>
            </w:tcBorders>
            <w:shd w:val="clear" w:color="000000" w:fill="FFFFFF"/>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290AD9">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840" w:type="dxa"/>
            <w:gridSpan w:val="6"/>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6216" w:type="dxa"/>
            <w:gridSpan w:val="5"/>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290AD9">
        <w:trPr>
          <w:trHeight w:val="1424"/>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7840" w:type="dxa"/>
            <w:gridSpan w:val="6"/>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spacing w:line="300" w:lineRule="exact"/>
              <w:jc w:val="center"/>
              <w:rPr>
                <w:rFonts w:ascii="宋体" w:hAnsi="宋体" w:cs="宋体"/>
                <w:color w:val="000000"/>
                <w:kern w:val="0"/>
                <w:sz w:val="20"/>
                <w:szCs w:val="20"/>
              </w:rPr>
            </w:pPr>
            <w:r>
              <w:rPr>
                <w:rFonts w:ascii="宋体" w:hAnsi="宋体" w:cs="宋体" w:hint="eastAsia"/>
                <w:color w:val="000000"/>
                <w:kern w:val="0"/>
                <w:sz w:val="20"/>
                <w:szCs w:val="20"/>
              </w:rPr>
              <w:t>为单位离退休老干部提供必要的学习和活动场所，以及老干部活动中心人员办公场所。</w:t>
            </w:r>
          </w:p>
        </w:tc>
        <w:tc>
          <w:tcPr>
            <w:tcW w:w="6216" w:type="dxa"/>
            <w:gridSpan w:val="5"/>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spacing w:line="300" w:lineRule="exact"/>
              <w:jc w:val="left"/>
              <w:rPr>
                <w:rFonts w:ascii="宋体" w:hAnsi="宋体" w:cs="宋体"/>
                <w:color w:val="000000"/>
                <w:kern w:val="0"/>
                <w:sz w:val="20"/>
                <w:szCs w:val="20"/>
              </w:rPr>
            </w:pPr>
            <w:r>
              <w:rPr>
                <w:rFonts w:ascii="宋体" w:hAnsi="宋体" w:cs="宋体" w:hint="eastAsia"/>
                <w:color w:val="000000"/>
                <w:kern w:val="0"/>
                <w:sz w:val="20"/>
                <w:szCs w:val="20"/>
              </w:rPr>
              <w:t>根据市委办公厅、市政府办公厅《关于印发</w:t>
            </w:r>
            <w:r>
              <w:rPr>
                <w:rFonts w:ascii="宋体" w:hAnsi="宋体" w:cs="宋体" w:hint="eastAsia"/>
                <w:color w:val="000000"/>
                <w:kern w:val="0"/>
                <w:sz w:val="20"/>
                <w:szCs w:val="20"/>
              </w:rPr>
              <w:t>&lt;</w:t>
            </w:r>
            <w:r>
              <w:rPr>
                <w:rFonts w:ascii="宋体" w:hAnsi="宋体" w:cs="宋体" w:hint="eastAsia"/>
                <w:color w:val="000000"/>
                <w:kern w:val="0"/>
                <w:sz w:val="20"/>
                <w:szCs w:val="20"/>
              </w:rPr>
              <w:t>北京市离退休干部工作领导责任制</w:t>
            </w:r>
            <w:r>
              <w:rPr>
                <w:rFonts w:ascii="宋体" w:hAnsi="宋体" w:cs="宋体" w:hint="eastAsia"/>
                <w:color w:val="000000"/>
                <w:kern w:val="0"/>
                <w:sz w:val="20"/>
                <w:szCs w:val="20"/>
              </w:rPr>
              <w:t>&gt;</w:t>
            </w:r>
            <w:r>
              <w:rPr>
                <w:rFonts w:ascii="宋体" w:hAnsi="宋体" w:cs="宋体" w:hint="eastAsia"/>
                <w:color w:val="000000"/>
                <w:kern w:val="0"/>
                <w:sz w:val="20"/>
                <w:szCs w:val="20"/>
              </w:rPr>
              <w:t>的通知》（京办发［</w:t>
            </w:r>
            <w:r>
              <w:rPr>
                <w:rFonts w:ascii="宋体" w:hAnsi="宋体" w:cs="宋体" w:hint="eastAsia"/>
                <w:color w:val="000000"/>
                <w:kern w:val="0"/>
                <w:sz w:val="20"/>
                <w:szCs w:val="20"/>
              </w:rPr>
              <w:t>2009</w:t>
            </w:r>
            <w:r>
              <w:rPr>
                <w:rFonts w:ascii="宋体" w:hAnsi="宋体" w:cs="宋体" w:hint="eastAsia"/>
                <w:color w:val="000000"/>
                <w:kern w:val="0"/>
                <w:sz w:val="20"/>
                <w:szCs w:val="20"/>
              </w:rPr>
              <w:t>］</w:t>
            </w:r>
            <w:r>
              <w:rPr>
                <w:rFonts w:ascii="宋体" w:hAnsi="宋体" w:cs="宋体" w:hint="eastAsia"/>
                <w:color w:val="000000"/>
                <w:kern w:val="0"/>
                <w:sz w:val="20"/>
                <w:szCs w:val="20"/>
              </w:rPr>
              <w:t>28</w:t>
            </w:r>
            <w:r>
              <w:rPr>
                <w:rFonts w:ascii="宋体" w:hAnsi="宋体" w:cs="宋体" w:hint="eastAsia"/>
                <w:color w:val="000000"/>
                <w:kern w:val="0"/>
                <w:sz w:val="20"/>
                <w:szCs w:val="20"/>
              </w:rPr>
              <w:t>号）的精神，老干部活动中心租用办公用房，为本局离退休老干部提供了必要的学习和活动场所和老干部活动中心人员办公场所。</w:t>
            </w:r>
          </w:p>
        </w:tc>
      </w:tr>
      <w:tr w:rsidR="00290AD9">
        <w:trPr>
          <w:trHeight w:val="810"/>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绩效指标</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487"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2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290AD9">
        <w:trPr>
          <w:trHeight w:val="389"/>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r>
              <w:rPr>
                <w:rFonts w:ascii="宋体" w:hAnsi="宋体" w:cs="宋体" w:hint="eastAsia"/>
                <w:color w:val="000000"/>
                <w:kern w:val="0"/>
                <w:sz w:val="20"/>
                <w:szCs w:val="20"/>
              </w:rPr>
              <w:br/>
            </w:r>
            <w:r>
              <w:rPr>
                <w:rFonts w:ascii="宋体" w:hAnsi="宋体" w:cs="宋体" w:hint="eastAsia"/>
                <w:color w:val="000000"/>
                <w:kern w:val="0"/>
                <w:sz w:val="20"/>
                <w:szCs w:val="20"/>
              </w:rPr>
              <w:t>（</w:t>
            </w:r>
            <w:r>
              <w:rPr>
                <w:rFonts w:ascii="宋体" w:hAnsi="宋体" w:cs="宋体" w:hint="eastAsia"/>
                <w:color w:val="000000"/>
                <w:kern w:val="0"/>
                <w:sz w:val="20"/>
                <w:szCs w:val="20"/>
              </w:rPr>
              <w:t>40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87"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租赁面积</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平米</w:t>
            </w:r>
          </w:p>
        </w:tc>
        <w:tc>
          <w:tcPr>
            <w:tcW w:w="2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平米</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25"/>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87"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租赁房屋利用率</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17"/>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87"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办公用房租赁期</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395"/>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房屋租赁平均单价</w:t>
            </w:r>
          </w:p>
        </w:tc>
        <w:tc>
          <w:tcPr>
            <w:tcW w:w="25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219.71</w:t>
            </w:r>
            <w:r>
              <w:rPr>
                <w:rFonts w:ascii="宋体" w:hAnsi="宋体" w:cs="宋体" w:hint="eastAsia"/>
                <w:color w:val="000000"/>
                <w:kern w:val="0"/>
                <w:sz w:val="20"/>
                <w:szCs w:val="20"/>
              </w:rPr>
              <w:t>元</w:t>
            </w:r>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平米</w:t>
            </w:r>
            <w:r>
              <w:rPr>
                <w:rFonts w:ascii="宋体" w:hAnsi="宋体" w:cs="宋体" w:hint="eastAsia"/>
                <w:color w:val="000000"/>
                <w:kern w:val="0"/>
                <w:sz w:val="20"/>
                <w:szCs w:val="20"/>
              </w:rPr>
              <w:t>/</w:t>
            </w:r>
            <w:proofErr w:type="gramEnd"/>
            <w:r>
              <w:rPr>
                <w:rFonts w:ascii="宋体" w:hAnsi="宋体" w:cs="宋体" w:hint="eastAsia"/>
                <w:color w:val="000000"/>
                <w:kern w:val="0"/>
                <w:sz w:val="20"/>
                <w:szCs w:val="20"/>
              </w:rPr>
              <w:t>月</w:t>
            </w:r>
          </w:p>
        </w:tc>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219.71</w:t>
            </w:r>
            <w:r>
              <w:rPr>
                <w:rFonts w:ascii="宋体" w:hAnsi="宋体" w:cs="宋体" w:hint="eastAsia"/>
                <w:color w:val="000000"/>
                <w:kern w:val="0"/>
                <w:sz w:val="20"/>
                <w:szCs w:val="20"/>
              </w:rPr>
              <w:t>元</w:t>
            </w:r>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平米</w:t>
            </w:r>
            <w:r>
              <w:rPr>
                <w:rFonts w:ascii="宋体" w:hAnsi="宋体" w:cs="宋体" w:hint="eastAsia"/>
                <w:color w:val="000000"/>
                <w:kern w:val="0"/>
                <w:sz w:val="20"/>
                <w:szCs w:val="20"/>
              </w:rPr>
              <w:t>/</w:t>
            </w:r>
            <w:proofErr w:type="gramEnd"/>
            <w:r>
              <w:rPr>
                <w:rFonts w:ascii="宋体" w:hAnsi="宋体" w:cs="宋体" w:hint="eastAsia"/>
                <w:color w:val="000000"/>
                <w:kern w:val="0"/>
                <w:sz w:val="20"/>
                <w:szCs w:val="20"/>
              </w:rPr>
              <w:t>月</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27"/>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487"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租赁总成本控制数</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210.92</w:t>
            </w:r>
            <w:r>
              <w:rPr>
                <w:rFonts w:ascii="宋体" w:hAnsi="宋体" w:cs="宋体" w:hint="eastAsia"/>
                <w:kern w:val="0"/>
                <w:sz w:val="20"/>
                <w:szCs w:val="20"/>
              </w:rPr>
              <w:t>万元</w:t>
            </w:r>
          </w:p>
        </w:tc>
        <w:tc>
          <w:tcPr>
            <w:tcW w:w="230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kern w:val="0"/>
                <w:sz w:val="20"/>
                <w:szCs w:val="20"/>
              </w:rPr>
            </w:pPr>
            <w:r>
              <w:rPr>
                <w:rFonts w:ascii="宋体" w:hAnsi="宋体" w:cs="宋体" w:hint="eastAsia"/>
                <w:kern w:val="0"/>
                <w:sz w:val="20"/>
                <w:szCs w:val="20"/>
              </w:rPr>
              <w:t>210.92</w:t>
            </w:r>
            <w:r>
              <w:rPr>
                <w:rFonts w:ascii="宋体" w:hAnsi="宋体" w:cs="宋体" w:hint="eastAsia"/>
                <w:kern w:val="0"/>
                <w:sz w:val="20"/>
                <w:szCs w:val="20"/>
              </w:rPr>
              <w:t>万元</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516"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982"/>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87"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为本局离退休老干部提供必要的学习和活动场所</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为本局离退休老干部提供了必要的学习和活动场所</w:t>
            </w:r>
          </w:p>
        </w:tc>
        <w:tc>
          <w:tcPr>
            <w:tcW w:w="230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为本局离退休老干部提供了必要的学习和活动场所</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516"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600"/>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2487" w:type="dxa"/>
            <w:gridSpan w:val="2"/>
            <w:tcBorders>
              <w:top w:val="single" w:sz="4" w:space="0" w:color="auto"/>
              <w:left w:val="nil"/>
              <w:bottom w:val="single" w:sz="4" w:space="0" w:color="auto"/>
              <w:right w:val="single" w:sz="4" w:space="0" w:color="000000"/>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老干部活动中心人员办公场所</w:t>
            </w:r>
          </w:p>
        </w:tc>
        <w:tc>
          <w:tcPr>
            <w:tcW w:w="2573"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得到保障</w:t>
            </w:r>
          </w:p>
        </w:tc>
        <w:tc>
          <w:tcPr>
            <w:tcW w:w="2300" w:type="dxa"/>
            <w:gridSpan w:val="2"/>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得到保障</w:t>
            </w:r>
          </w:p>
        </w:tc>
        <w:tc>
          <w:tcPr>
            <w:tcW w:w="116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516" w:type="dxa"/>
            <w:tcBorders>
              <w:top w:val="single" w:sz="4" w:space="0" w:color="auto"/>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645"/>
        </w:trPr>
        <w:tc>
          <w:tcPr>
            <w:tcW w:w="560" w:type="dxa"/>
            <w:vMerge/>
            <w:tcBorders>
              <w:top w:val="nil"/>
              <w:left w:val="single" w:sz="4" w:space="0" w:color="auto"/>
              <w:bottom w:val="single" w:sz="4" w:space="0" w:color="auto"/>
              <w:right w:val="single" w:sz="4" w:space="0" w:color="auto"/>
            </w:tcBorders>
            <w:vAlign w:val="center"/>
          </w:tcPr>
          <w:p w:rsidR="00290AD9" w:rsidRDefault="00290AD9">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服务对象满意度指标</w:t>
            </w:r>
          </w:p>
        </w:tc>
        <w:tc>
          <w:tcPr>
            <w:tcW w:w="2487"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老干部对服务保障工作满意度</w:t>
            </w:r>
          </w:p>
        </w:tc>
        <w:tc>
          <w:tcPr>
            <w:tcW w:w="2573"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300" w:type="dxa"/>
            <w:gridSpan w:val="2"/>
            <w:tcBorders>
              <w:top w:val="nil"/>
              <w:left w:val="nil"/>
              <w:bottom w:val="single" w:sz="4" w:space="0" w:color="auto"/>
              <w:right w:val="single" w:sz="4" w:space="0" w:color="auto"/>
            </w:tcBorders>
            <w:shd w:val="clear" w:color="auto" w:fill="auto"/>
            <w:vAlign w:val="center"/>
          </w:tcPr>
          <w:p w:rsidR="00290AD9" w:rsidRDefault="007D2DC4">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90AD9">
        <w:trPr>
          <w:trHeight w:val="402"/>
        </w:trPr>
        <w:tc>
          <w:tcPr>
            <w:tcW w:w="10700"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290AD9" w:rsidRDefault="007D2DC4">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tcPr>
          <w:p w:rsidR="00290AD9" w:rsidRDefault="007D2DC4">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516" w:type="dxa"/>
            <w:tcBorders>
              <w:top w:val="nil"/>
              <w:left w:val="nil"/>
              <w:bottom w:val="single" w:sz="4" w:space="0" w:color="auto"/>
              <w:right w:val="single" w:sz="4" w:space="0" w:color="auto"/>
            </w:tcBorders>
            <w:shd w:val="clear" w:color="auto" w:fill="auto"/>
            <w:vAlign w:val="center"/>
          </w:tcPr>
          <w:p w:rsidR="00290AD9" w:rsidRDefault="007D2DC4">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 xml:space="preserve">　</w:t>
            </w:r>
          </w:p>
        </w:tc>
      </w:tr>
    </w:tbl>
    <w:p w:rsidR="00290AD9" w:rsidRDefault="00290AD9">
      <w:pPr>
        <w:pStyle w:val="2"/>
      </w:pPr>
    </w:p>
    <w:p w:rsidR="00290AD9" w:rsidRDefault="00290AD9"/>
    <w:sectPr w:rsidR="00290AD9">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DC4" w:rsidRDefault="007D2DC4">
      <w:r>
        <w:separator/>
      </w:r>
    </w:p>
  </w:endnote>
  <w:endnote w:type="continuationSeparator" w:id="0">
    <w:p w:rsidR="007D2DC4" w:rsidRDefault="007D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9" w:rsidRDefault="007D2DC4">
    <w:pPr>
      <w:pStyle w:val="a7"/>
      <w:framePr w:wrap="around" w:vAnchor="text" w:hAnchor="margin" w:xAlign="center" w:y="1"/>
      <w:rPr>
        <w:rStyle w:val="ab"/>
      </w:rPr>
    </w:pPr>
    <w:r>
      <w:fldChar w:fldCharType="begin"/>
    </w:r>
    <w:r>
      <w:rPr>
        <w:rStyle w:val="ab"/>
      </w:rPr>
      <w:instrText xml:space="preserve">PAGE  </w:instrText>
    </w:r>
    <w:r>
      <w:fldChar w:fldCharType="separate"/>
    </w:r>
    <w:r w:rsidR="00C3141D">
      <w:rPr>
        <w:rStyle w:val="ab"/>
        <w:noProof/>
      </w:rPr>
      <w:t>3</w:t>
    </w:r>
    <w:r>
      <w:fldChar w:fldCharType="end"/>
    </w:r>
  </w:p>
  <w:p w:rsidR="00290AD9" w:rsidRDefault="00290AD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9" w:rsidRDefault="007D2DC4">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90AD9" w:rsidRDefault="00290AD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9" w:rsidRDefault="007D2DC4">
    <w:pPr>
      <w:pStyle w:val="a7"/>
      <w:framePr w:wrap="around" w:vAnchor="text" w:hAnchor="margin" w:xAlign="center" w:y="1"/>
      <w:rPr>
        <w:rStyle w:val="ab"/>
      </w:rPr>
    </w:pPr>
    <w:r>
      <w:fldChar w:fldCharType="begin"/>
    </w:r>
    <w:r>
      <w:rPr>
        <w:rStyle w:val="ab"/>
      </w:rPr>
      <w:instrText xml:space="preserve">PAGE  </w:instrText>
    </w:r>
    <w:r>
      <w:fldChar w:fldCharType="separate"/>
    </w:r>
    <w:r w:rsidR="00DF2955">
      <w:rPr>
        <w:rStyle w:val="ab"/>
        <w:noProof/>
      </w:rPr>
      <w:t>16</w:t>
    </w:r>
    <w:r>
      <w:fldChar w:fldCharType="end"/>
    </w:r>
  </w:p>
  <w:p w:rsidR="00290AD9" w:rsidRDefault="00290A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DC4" w:rsidRDefault="007D2DC4">
      <w:r>
        <w:separator/>
      </w:r>
    </w:p>
  </w:footnote>
  <w:footnote w:type="continuationSeparator" w:id="0">
    <w:p w:rsidR="007D2DC4" w:rsidRDefault="007D2D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2814"/>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7DA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236"/>
    <w:rsid w:val="001369A7"/>
    <w:rsid w:val="00140F9A"/>
    <w:rsid w:val="001428C5"/>
    <w:rsid w:val="0014339E"/>
    <w:rsid w:val="001503D8"/>
    <w:rsid w:val="00157540"/>
    <w:rsid w:val="001626F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325F"/>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0AD9"/>
    <w:rsid w:val="002911BD"/>
    <w:rsid w:val="00291C98"/>
    <w:rsid w:val="00294DE9"/>
    <w:rsid w:val="002A06E8"/>
    <w:rsid w:val="002A1488"/>
    <w:rsid w:val="002A4C2B"/>
    <w:rsid w:val="002B19D0"/>
    <w:rsid w:val="002B3682"/>
    <w:rsid w:val="002B5464"/>
    <w:rsid w:val="002C0443"/>
    <w:rsid w:val="002C12FB"/>
    <w:rsid w:val="002C24BC"/>
    <w:rsid w:val="002D03C6"/>
    <w:rsid w:val="002D0FDF"/>
    <w:rsid w:val="002D3955"/>
    <w:rsid w:val="002D68A9"/>
    <w:rsid w:val="002E06AE"/>
    <w:rsid w:val="002E3855"/>
    <w:rsid w:val="002E4B75"/>
    <w:rsid w:val="002E68DD"/>
    <w:rsid w:val="002F17C2"/>
    <w:rsid w:val="002F32EE"/>
    <w:rsid w:val="002F4054"/>
    <w:rsid w:val="002F5574"/>
    <w:rsid w:val="00301532"/>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97771"/>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293F"/>
    <w:rsid w:val="003D7274"/>
    <w:rsid w:val="003E4D82"/>
    <w:rsid w:val="003E5BC1"/>
    <w:rsid w:val="003E5E8C"/>
    <w:rsid w:val="003F0D1B"/>
    <w:rsid w:val="003F1DD6"/>
    <w:rsid w:val="003F5CDE"/>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40A1"/>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4E52"/>
    <w:rsid w:val="00485E12"/>
    <w:rsid w:val="004865DA"/>
    <w:rsid w:val="0048779C"/>
    <w:rsid w:val="00487AB7"/>
    <w:rsid w:val="00487ED0"/>
    <w:rsid w:val="00491D09"/>
    <w:rsid w:val="0049682C"/>
    <w:rsid w:val="004A168E"/>
    <w:rsid w:val="004A4679"/>
    <w:rsid w:val="004A4EC7"/>
    <w:rsid w:val="004A6B5A"/>
    <w:rsid w:val="004B0003"/>
    <w:rsid w:val="004C020A"/>
    <w:rsid w:val="004C03A3"/>
    <w:rsid w:val="004C44B8"/>
    <w:rsid w:val="004C7629"/>
    <w:rsid w:val="004D0D5D"/>
    <w:rsid w:val="004E27DD"/>
    <w:rsid w:val="004E3211"/>
    <w:rsid w:val="004E3350"/>
    <w:rsid w:val="004E374B"/>
    <w:rsid w:val="004E5292"/>
    <w:rsid w:val="004F2C5B"/>
    <w:rsid w:val="004F641B"/>
    <w:rsid w:val="004F71F3"/>
    <w:rsid w:val="005052FA"/>
    <w:rsid w:val="005069E1"/>
    <w:rsid w:val="00507E59"/>
    <w:rsid w:val="005116D0"/>
    <w:rsid w:val="00511DB0"/>
    <w:rsid w:val="005122B5"/>
    <w:rsid w:val="00522724"/>
    <w:rsid w:val="005235EE"/>
    <w:rsid w:val="0052381C"/>
    <w:rsid w:val="005346B3"/>
    <w:rsid w:val="005347A5"/>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8F9"/>
    <w:rsid w:val="005E4E07"/>
    <w:rsid w:val="005E4E46"/>
    <w:rsid w:val="005E5275"/>
    <w:rsid w:val="005E7DC8"/>
    <w:rsid w:val="005E7EC9"/>
    <w:rsid w:val="005F4283"/>
    <w:rsid w:val="005F7087"/>
    <w:rsid w:val="00611BE4"/>
    <w:rsid w:val="0061219B"/>
    <w:rsid w:val="00614C6B"/>
    <w:rsid w:val="00621419"/>
    <w:rsid w:val="0062143B"/>
    <w:rsid w:val="00626446"/>
    <w:rsid w:val="00626BE8"/>
    <w:rsid w:val="00631827"/>
    <w:rsid w:val="00632804"/>
    <w:rsid w:val="006376DA"/>
    <w:rsid w:val="006459DA"/>
    <w:rsid w:val="006502E8"/>
    <w:rsid w:val="00653DB5"/>
    <w:rsid w:val="00654A2B"/>
    <w:rsid w:val="0065675C"/>
    <w:rsid w:val="00656FD5"/>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2EB"/>
    <w:rsid w:val="006B0CB9"/>
    <w:rsid w:val="006B2609"/>
    <w:rsid w:val="006B2750"/>
    <w:rsid w:val="006B3678"/>
    <w:rsid w:val="006B44CB"/>
    <w:rsid w:val="006B7390"/>
    <w:rsid w:val="006C0084"/>
    <w:rsid w:val="006C107D"/>
    <w:rsid w:val="006C3600"/>
    <w:rsid w:val="006C4534"/>
    <w:rsid w:val="006C5205"/>
    <w:rsid w:val="006C75F6"/>
    <w:rsid w:val="006D3F53"/>
    <w:rsid w:val="006D60AF"/>
    <w:rsid w:val="006E4722"/>
    <w:rsid w:val="006E6CF5"/>
    <w:rsid w:val="00701651"/>
    <w:rsid w:val="007045DB"/>
    <w:rsid w:val="007049BF"/>
    <w:rsid w:val="00704E79"/>
    <w:rsid w:val="00707A26"/>
    <w:rsid w:val="0071120F"/>
    <w:rsid w:val="00714056"/>
    <w:rsid w:val="00716380"/>
    <w:rsid w:val="00722165"/>
    <w:rsid w:val="00722C7C"/>
    <w:rsid w:val="00724B1C"/>
    <w:rsid w:val="007362BA"/>
    <w:rsid w:val="007428F0"/>
    <w:rsid w:val="007512EF"/>
    <w:rsid w:val="007551AC"/>
    <w:rsid w:val="0076101C"/>
    <w:rsid w:val="00763D87"/>
    <w:rsid w:val="0076500C"/>
    <w:rsid w:val="007670B2"/>
    <w:rsid w:val="00771795"/>
    <w:rsid w:val="00774925"/>
    <w:rsid w:val="00780116"/>
    <w:rsid w:val="0079279F"/>
    <w:rsid w:val="00793E69"/>
    <w:rsid w:val="007A063C"/>
    <w:rsid w:val="007A16B0"/>
    <w:rsid w:val="007A19EA"/>
    <w:rsid w:val="007A6092"/>
    <w:rsid w:val="007A60B7"/>
    <w:rsid w:val="007A64A6"/>
    <w:rsid w:val="007A6EE1"/>
    <w:rsid w:val="007A7C89"/>
    <w:rsid w:val="007B1487"/>
    <w:rsid w:val="007B2A43"/>
    <w:rsid w:val="007B326F"/>
    <w:rsid w:val="007B3FC7"/>
    <w:rsid w:val="007B6A58"/>
    <w:rsid w:val="007B6C06"/>
    <w:rsid w:val="007B7B78"/>
    <w:rsid w:val="007C32B1"/>
    <w:rsid w:val="007C7A22"/>
    <w:rsid w:val="007C7C62"/>
    <w:rsid w:val="007D1076"/>
    <w:rsid w:val="007D12B7"/>
    <w:rsid w:val="007D2A49"/>
    <w:rsid w:val="007D2DC4"/>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4E46"/>
    <w:rsid w:val="00825359"/>
    <w:rsid w:val="00825E13"/>
    <w:rsid w:val="00826F07"/>
    <w:rsid w:val="008337CB"/>
    <w:rsid w:val="00834A3C"/>
    <w:rsid w:val="008360A0"/>
    <w:rsid w:val="00837658"/>
    <w:rsid w:val="00837CD4"/>
    <w:rsid w:val="00837F78"/>
    <w:rsid w:val="008400EE"/>
    <w:rsid w:val="00840791"/>
    <w:rsid w:val="00843385"/>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4E3D"/>
    <w:rsid w:val="008F55D9"/>
    <w:rsid w:val="009057DE"/>
    <w:rsid w:val="00905F97"/>
    <w:rsid w:val="00906FA3"/>
    <w:rsid w:val="009076D5"/>
    <w:rsid w:val="0091239D"/>
    <w:rsid w:val="00912825"/>
    <w:rsid w:val="009129B8"/>
    <w:rsid w:val="00912AC9"/>
    <w:rsid w:val="00912B99"/>
    <w:rsid w:val="00912C78"/>
    <w:rsid w:val="00927892"/>
    <w:rsid w:val="009319B9"/>
    <w:rsid w:val="009351E9"/>
    <w:rsid w:val="009364C6"/>
    <w:rsid w:val="00937862"/>
    <w:rsid w:val="00942279"/>
    <w:rsid w:val="009524EB"/>
    <w:rsid w:val="0095343A"/>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5FBD"/>
    <w:rsid w:val="009F0C98"/>
    <w:rsid w:val="009F0F81"/>
    <w:rsid w:val="009F2543"/>
    <w:rsid w:val="009F256D"/>
    <w:rsid w:val="009F3100"/>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47F38"/>
    <w:rsid w:val="00A5063C"/>
    <w:rsid w:val="00A514C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36DF"/>
    <w:rsid w:val="00B05903"/>
    <w:rsid w:val="00B12C7A"/>
    <w:rsid w:val="00B12E10"/>
    <w:rsid w:val="00B22BC3"/>
    <w:rsid w:val="00B25865"/>
    <w:rsid w:val="00B272B6"/>
    <w:rsid w:val="00B2771B"/>
    <w:rsid w:val="00B30EEC"/>
    <w:rsid w:val="00B331DC"/>
    <w:rsid w:val="00B336E9"/>
    <w:rsid w:val="00B33AE5"/>
    <w:rsid w:val="00B35BE5"/>
    <w:rsid w:val="00B46965"/>
    <w:rsid w:val="00B54ED0"/>
    <w:rsid w:val="00B55D47"/>
    <w:rsid w:val="00B6204E"/>
    <w:rsid w:val="00B649EC"/>
    <w:rsid w:val="00B66606"/>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61D8"/>
    <w:rsid w:val="00BC73F6"/>
    <w:rsid w:val="00BD1177"/>
    <w:rsid w:val="00BD1374"/>
    <w:rsid w:val="00BD3531"/>
    <w:rsid w:val="00BD4E35"/>
    <w:rsid w:val="00BE34CA"/>
    <w:rsid w:val="00BF116A"/>
    <w:rsid w:val="00BF3905"/>
    <w:rsid w:val="00C0623C"/>
    <w:rsid w:val="00C06A07"/>
    <w:rsid w:val="00C132B6"/>
    <w:rsid w:val="00C1468F"/>
    <w:rsid w:val="00C1556E"/>
    <w:rsid w:val="00C21A6C"/>
    <w:rsid w:val="00C24A10"/>
    <w:rsid w:val="00C27003"/>
    <w:rsid w:val="00C27597"/>
    <w:rsid w:val="00C3141D"/>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522"/>
    <w:rsid w:val="00C7190B"/>
    <w:rsid w:val="00C72C6B"/>
    <w:rsid w:val="00C76852"/>
    <w:rsid w:val="00C77210"/>
    <w:rsid w:val="00C777FA"/>
    <w:rsid w:val="00C77989"/>
    <w:rsid w:val="00C811F4"/>
    <w:rsid w:val="00C81E51"/>
    <w:rsid w:val="00C87B73"/>
    <w:rsid w:val="00C92444"/>
    <w:rsid w:val="00C92FBB"/>
    <w:rsid w:val="00C93327"/>
    <w:rsid w:val="00C97B4D"/>
    <w:rsid w:val="00CA3DB8"/>
    <w:rsid w:val="00CA5602"/>
    <w:rsid w:val="00CA5CA9"/>
    <w:rsid w:val="00CA78E2"/>
    <w:rsid w:val="00CB1BBE"/>
    <w:rsid w:val="00CB65DB"/>
    <w:rsid w:val="00CB6BD9"/>
    <w:rsid w:val="00CB6DD0"/>
    <w:rsid w:val="00CC293A"/>
    <w:rsid w:val="00CE19F6"/>
    <w:rsid w:val="00CE6B76"/>
    <w:rsid w:val="00CF366B"/>
    <w:rsid w:val="00CF5D9D"/>
    <w:rsid w:val="00CF606C"/>
    <w:rsid w:val="00CF7423"/>
    <w:rsid w:val="00D001F5"/>
    <w:rsid w:val="00D03E80"/>
    <w:rsid w:val="00D1505F"/>
    <w:rsid w:val="00D15B9F"/>
    <w:rsid w:val="00D15DD6"/>
    <w:rsid w:val="00D20E6E"/>
    <w:rsid w:val="00D25548"/>
    <w:rsid w:val="00D2601F"/>
    <w:rsid w:val="00D27759"/>
    <w:rsid w:val="00D30028"/>
    <w:rsid w:val="00D325D3"/>
    <w:rsid w:val="00D34A54"/>
    <w:rsid w:val="00D408D6"/>
    <w:rsid w:val="00D4153E"/>
    <w:rsid w:val="00D511DD"/>
    <w:rsid w:val="00D55C2A"/>
    <w:rsid w:val="00D571C1"/>
    <w:rsid w:val="00D602F4"/>
    <w:rsid w:val="00D6457E"/>
    <w:rsid w:val="00D742E2"/>
    <w:rsid w:val="00D7580E"/>
    <w:rsid w:val="00D76DE1"/>
    <w:rsid w:val="00D87DAF"/>
    <w:rsid w:val="00D9446D"/>
    <w:rsid w:val="00DA2994"/>
    <w:rsid w:val="00DB08E8"/>
    <w:rsid w:val="00DB0DED"/>
    <w:rsid w:val="00DB1A0C"/>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955"/>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4C9A"/>
    <w:rsid w:val="00E16D91"/>
    <w:rsid w:val="00E24371"/>
    <w:rsid w:val="00E243AB"/>
    <w:rsid w:val="00E26641"/>
    <w:rsid w:val="00E2778F"/>
    <w:rsid w:val="00E33023"/>
    <w:rsid w:val="00E331F3"/>
    <w:rsid w:val="00E3498D"/>
    <w:rsid w:val="00E42425"/>
    <w:rsid w:val="00E43451"/>
    <w:rsid w:val="00E43E55"/>
    <w:rsid w:val="00E4554E"/>
    <w:rsid w:val="00E46D22"/>
    <w:rsid w:val="00E4768F"/>
    <w:rsid w:val="00E53C0E"/>
    <w:rsid w:val="00E54F7E"/>
    <w:rsid w:val="00E560CE"/>
    <w:rsid w:val="00E5674E"/>
    <w:rsid w:val="00E63783"/>
    <w:rsid w:val="00E650E2"/>
    <w:rsid w:val="00E75CAD"/>
    <w:rsid w:val="00E76922"/>
    <w:rsid w:val="00E8595B"/>
    <w:rsid w:val="00E85B4B"/>
    <w:rsid w:val="00E915EC"/>
    <w:rsid w:val="00E95BA7"/>
    <w:rsid w:val="00EA11B1"/>
    <w:rsid w:val="00EA2224"/>
    <w:rsid w:val="00EA7194"/>
    <w:rsid w:val="00EB1329"/>
    <w:rsid w:val="00EB2987"/>
    <w:rsid w:val="00EB2D75"/>
    <w:rsid w:val="00EB34BE"/>
    <w:rsid w:val="00EB571A"/>
    <w:rsid w:val="00EC2804"/>
    <w:rsid w:val="00EC6117"/>
    <w:rsid w:val="00EC6138"/>
    <w:rsid w:val="00ED1DCF"/>
    <w:rsid w:val="00ED43C9"/>
    <w:rsid w:val="00ED5A45"/>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21E7"/>
    <w:rsid w:val="00F73B46"/>
    <w:rsid w:val="00F73D01"/>
    <w:rsid w:val="00F7642B"/>
    <w:rsid w:val="00F76A43"/>
    <w:rsid w:val="00F80334"/>
    <w:rsid w:val="00F8139D"/>
    <w:rsid w:val="00F83DF9"/>
    <w:rsid w:val="00F84EE7"/>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3387"/>
    <w:rsid w:val="00FF7703"/>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756172B0"/>
    <w:rsid w:val="7A7F1C49"/>
    <w:rsid w:val="7B5B7AE6"/>
    <w:rsid w:val="7BA7071E"/>
    <w:rsid w:val="7BDF6DA8"/>
    <w:rsid w:val="7C5DE900"/>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semiHidden="0" w:uiPriority="0" w:unhideWhenUsed="0"/>
    <w:lsdException w:name="Strong" w:semiHidden="0" w:uiPriority="0" w:unhideWhenUsed="0" w:qFormat="1"/>
    <w:lsdException w:name="Emphasis" w:semiHidden="0" w:uiPriority="20" w:unhideWhenUsed="0" w:qFormat="1"/>
    <w:lsdException w:name="Normal (Web)" w:semiHidden="0" w:uiPriority="0" w:qFormat="1"/>
    <w:lsdException w:name="Balloon Text"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qFormat/>
    <w:rPr>
      <w:rFonts w:eastAsia="宋体"/>
      <w:kern w:val="2"/>
      <w:sz w:val="18"/>
      <w:szCs w:val="18"/>
      <w:lang w:val="en-US" w:eastAsia="zh-CN" w:bidi="ar-SA"/>
    </w:rPr>
  </w:style>
  <w:style w:type="character" w:customStyle="1" w:styleId="Char0">
    <w:name w:val="页眉 Char"/>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semiHidden="0" w:uiPriority="0" w:unhideWhenUsed="0"/>
    <w:lsdException w:name="Strong" w:semiHidden="0" w:uiPriority="0" w:unhideWhenUsed="0" w:qFormat="1"/>
    <w:lsdException w:name="Emphasis" w:semiHidden="0" w:uiPriority="20" w:unhideWhenUsed="0" w:qFormat="1"/>
    <w:lsdException w:name="Normal (Web)" w:semiHidden="0" w:uiPriority="0" w:qFormat="1"/>
    <w:lsdException w:name="Balloon Text"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qFormat/>
    <w:rPr>
      <w:rFonts w:eastAsia="宋体"/>
      <w:kern w:val="2"/>
      <w:sz w:val="18"/>
      <w:szCs w:val="18"/>
      <w:lang w:val="en-US" w:eastAsia="zh-CN" w:bidi="ar-SA"/>
    </w:rPr>
  </w:style>
  <w:style w:type="character" w:customStyle="1" w:styleId="Char0">
    <w:name w:val="页眉 Char"/>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sz="1600">
                <a:latin typeface="仿宋_GB2312" panose="02010609030101010101" pitchFamily="3" charset="-122"/>
                <a:ea typeface="仿宋_GB2312" panose="02010609030101010101" pitchFamily="3" charset="-122"/>
              </a:rPr>
              <a:t>收入决算</a:t>
            </a:r>
            <a:endParaRPr lang="en-US" sz="1050">
              <a:latin typeface="仿宋_GB2312" panose="02010609030101010101" pitchFamily="3" charset="-122"/>
              <a:ea typeface="仿宋_GB2312" panose="02010609030101010101" pitchFamily="3" charset="-122"/>
            </a:endParaRPr>
          </a:p>
        </c:rich>
      </c:tx>
      <c:layout>
        <c:manualLayout>
          <c:xMode val="edge"/>
          <c:yMode val="edge"/>
          <c:x val="0.38402122879037698"/>
          <c:y val="6.5873658661546694E-2"/>
        </c:manualLayout>
      </c:layout>
      <c:overlay val="0"/>
      <c:spPr>
        <a:noFill/>
        <a:ln w="25479">
          <a:noFill/>
        </a:ln>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w="25479">
                <a:noFill/>
              </a:ln>
              <a:effectLst/>
            </c:spPr>
            <c:txPr>
              <a:bodyPr rot="0" spcFirstLastPara="0" vertOverflow="ellipsis" vert="horz" wrap="square" lIns="38100" tIns="19050" rIns="38100" bIns="19050" anchor="ctr" anchorCtr="1"/>
              <a:lstStyle/>
              <a:p>
                <a:pPr>
                  <a:defRPr lang="zh-CN" sz="1005"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18909.23</c:v>
                </c:pt>
                <c:pt idx="1">
                  <c:v>0</c:v>
                </c:pt>
                <c:pt idx="2">
                  <c:v>0</c:v>
                </c:pt>
                <c:pt idx="3">
                  <c:v>0</c:v>
                </c:pt>
                <c:pt idx="4">
                  <c:v>0</c:v>
                </c:pt>
                <c:pt idx="5">
                  <c:v>5</c:v>
                </c:pt>
              </c:numCache>
            </c:numRef>
          </c:val>
        </c:ser>
        <c:dLbls>
          <c:showLegendKey val="0"/>
          <c:showVal val="0"/>
          <c:showCatName val="0"/>
          <c:showSerName val="0"/>
          <c:showPercent val="0"/>
          <c:showBubbleSize val="0"/>
          <c:showLeaderLines val="1"/>
        </c:dLbls>
        <c:firstSliceAng val="0"/>
      </c:pieChart>
      <c:spPr>
        <a:noFill/>
        <a:ln w="25479">
          <a:noFill/>
        </a:ln>
      </c:spPr>
    </c:plotArea>
    <c:legend>
      <c:legendPos val="r"/>
      <c:legendEntry>
        <c:idx val="0"/>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Entry>
      <c:overlay val="0"/>
      <c:spPr>
        <a:noFill/>
        <a:ln w="25479">
          <a:noFill/>
        </a:ln>
      </c:spPr>
      <c:txPr>
        <a:bodyPr rot="0" spcFirstLastPara="0" vertOverflow="ellipsis" vert="horz" wrap="square" anchor="ctr" anchorCtr="1"/>
        <a:lstStyle/>
        <a:p>
          <a:pPr>
            <a:defRPr lang="zh-CN" sz="905"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55" cap="flat" cmpd="sng" algn="ctr">
      <a:solidFill>
        <a:schemeClr val="tx1">
          <a:lumMod val="15000"/>
          <a:lumOff val="85000"/>
        </a:schemeClr>
      </a:solidFill>
      <a:prstDash val="solid"/>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600">
                <a:latin typeface="仿宋_GB2312" panose="02010609030101010101" pitchFamily="3" charset="-122"/>
                <a:ea typeface="仿宋_GB2312" panose="02010609030101010101" pitchFamily="3" charset="-122"/>
              </a:rPr>
              <a:t>支出决算</a:t>
            </a:r>
            <a:endParaRPr lang="en-US" altLang="zh-CN" sz="1600">
              <a:latin typeface="仿宋_GB2312" panose="02010609030101010101" pitchFamily="3" charset="-122"/>
              <a:ea typeface="仿宋_GB2312" panose="02010609030101010101" pitchFamily="3" charset="-122"/>
            </a:endParaRPr>
          </a:p>
        </c:rich>
      </c:tx>
      <c:overlay val="0"/>
    </c:title>
    <c:autoTitleDeleted val="0"/>
    <c:plotArea>
      <c:layout/>
      <c:pieChart>
        <c:varyColors val="1"/>
        <c:ser>
          <c:idx val="0"/>
          <c:order val="0"/>
          <c:tx>
            <c:strRef>
              <c:f>Sheet1!$B$1</c:f>
              <c:strCache>
                <c:ptCount val="1"/>
                <c:pt idx="0">
                  <c:v>列1</c:v>
                </c:pt>
              </c:strCache>
            </c:strRef>
          </c:tx>
          <c:dPt>
            <c:idx val="0"/>
            <c:bubble3D val="0"/>
          </c:dPt>
          <c:dPt>
            <c:idx val="1"/>
            <c:bubble3D val="0"/>
          </c:dPt>
          <c:dPt>
            <c:idx val="2"/>
            <c:bubble3D val="0"/>
          </c:dPt>
          <c:dPt>
            <c:idx val="3"/>
            <c:bubble3D val="0"/>
          </c:dPt>
          <c:dPt>
            <c:idx val="4"/>
            <c:bubble3D val="0"/>
          </c:dPt>
          <c:dLbls>
            <c:dLbl>
              <c:idx val="0"/>
              <c:tx>
                <c:rich>
                  <a:bodyPr/>
                  <a:lstStyle/>
                  <a:p>
                    <a:r>
                      <a:rPr lang="en-US" altLang="zh-CN"/>
                      <a:t>55.25%</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tx>
                <c:rich>
                  <a:bodyPr/>
                  <a:lstStyle/>
                  <a:p>
                    <a:r>
                      <a:rPr lang="en-US" altLang="zh-CN"/>
                      <a:t>44.75%</a:t>
                    </a:r>
                  </a:p>
                </c:rich>
              </c:tx>
              <c:dLblPos val="bestFit"/>
              <c:showLegendKey val="0"/>
              <c:showVal val="0"/>
              <c:showCatName val="0"/>
              <c:showSerName val="0"/>
              <c:showPercent val="1"/>
              <c:showBubbleSize val="0"/>
              <c:extLst>
                <c:ext xmlns:c15="http://schemas.microsoft.com/office/drawing/2012/chart" uri="{CE6537A1-D6FC-4f65-9D91-7224C49458BB}"/>
              </c:extLst>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false"/>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55.25</c:v>
                </c:pt>
                <c:pt idx="1">
                  <c:v>44.75</c:v>
                </c:pt>
                <c:pt idx="2">
                  <c:v>0</c:v>
                </c:pt>
                <c:pt idx="3">
                  <c:v>0</c:v>
                </c:pt>
                <c:pt idx="4">
                  <c:v>0</c:v>
                </c:pt>
              </c:numCache>
            </c:numRef>
          </c:val>
        </c:ser>
        <c:dLbls>
          <c:showLegendKey val="0"/>
          <c:showVal val="0"/>
          <c:showCatName val="0"/>
          <c:showSerName val="0"/>
          <c:showPercent val="1"/>
          <c:showBubbleSize val="0"/>
          <c:showLeaderLines val="0"/>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bg1">
                  <a:lumMod val="65000"/>
                </a:schemeClr>
              </a:solidFill>
              <a:latin typeface="+mn-lt"/>
              <a:ea typeface="+mn-ea"/>
              <a:cs typeface="+mn-cs"/>
            </a:defRPr>
          </a:pPr>
          <a:endParaRPr lang="zh-CN"/>
        </a:p>
      </c:txPr>
    </c:legend>
    <c:plotVisOnly val="1"/>
    <c:dispBlanksAs val="gap"/>
    <c:showDLblsOverMax val="0"/>
  </c:chart>
  <c:spPr>
    <a:ln w="9525" cap="flat" cmpd="sng" algn="ctr">
      <a:solidFill>
        <a:schemeClr val="bg1">
          <a:lumMod val="85000"/>
        </a:schemeClr>
      </a:solidFill>
      <a:prstDash val="solid"/>
      <a:round/>
    </a:ln>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995</Words>
  <Characters>5676</Characters>
  <Application>Microsoft Office Word</Application>
  <DocSecurity>0</DocSecurity>
  <Lines>47</Lines>
  <Paragraphs>13</Paragraphs>
  <ScaleCrop>false</ScaleCrop>
  <Company>bjda</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71</cp:revision>
  <cp:lastPrinted>2020-08-07T19:39:00Z</cp:lastPrinted>
  <dcterms:created xsi:type="dcterms:W3CDTF">2024-06-04T17:07:00Z</dcterms:created>
  <dcterms:modified xsi:type="dcterms:W3CDTF">2024-09-06T07:51:00Z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01F8CD0A25B547E6A4C27472B18C562F_13</vt:lpwstr>
  </property>
</Properties>
</file>