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6E4" w:rsidRDefault="002A46E4">
      <w:pPr>
        <w:pStyle w:val="2"/>
        <w:spacing w:line="240" w:lineRule="exact"/>
        <w:rPr>
          <w:rFonts w:hint="eastAsia"/>
        </w:rPr>
      </w:pPr>
    </w:p>
    <w:p w:rsidR="002A46E4" w:rsidRDefault="002E0CDC">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北京市药品监督管理局投诉举报中心</w:t>
      </w:r>
    </w:p>
    <w:p w:rsidR="002A46E4" w:rsidRDefault="002E0CDC">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2025年度单位预算信息公开</w:t>
      </w:r>
    </w:p>
    <w:p w:rsidR="002A46E4" w:rsidRDefault="002A46E4">
      <w:pPr>
        <w:pStyle w:val="2"/>
      </w:pPr>
    </w:p>
    <w:p w:rsidR="002A46E4" w:rsidRDefault="002E0CD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2A46E4" w:rsidRDefault="002A46E4">
      <w:pPr>
        <w:spacing w:line="240" w:lineRule="exact"/>
        <w:jc w:val="center"/>
        <w:rPr>
          <w:rFonts w:ascii="方正小标宋简体" w:eastAsia="方正小标宋简体"/>
          <w:color w:val="000000"/>
          <w:sz w:val="32"/>
          <w:szCs w:val="32"/>
        </w:rPr>
      </w:pPr>
    </w:p>
    <w:p w:rsidR="002A46E4" w:rsidRDefault="002E0CD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2025年度单位预算情况说明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2A46E4" w:rsidRDefault="002E0CD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2A46E4" w:rsidRDefault="002E0CD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2025年度单位预算报表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2A46E4" w:rsidRDefault="002E0CDC">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2A46E4" w:rsidRDefault="002E0CD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2A46E4" w:rsidRDefault="002E0CD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2A46E4" w:rsidRDefault="002E0CD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2A46E4" w:rsidRDefault="002E0CDC">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2A46E4" w:rsidRDefault="002E0CDC">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十一、财政拨款“三公”经费支出表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十二、政府购买服务预算财政拨款明细表</w:t>
      </w:r>
    </w:p>
    <w:p w:rsidR="002A46E4" w:rsidRDefault="002E0CD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仿宋_GB2312" w:eastAsia="仿宋_GB2312" w:hAnsi="仿宋_GB2312" w:cs="仿宋_GB2312"/>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spacing w:line="560" w:lineRule="exact"/>
        <w:jc w:val="center"/>
        <w:rPr>
          <w:rFonts w:ascii="方正小标宋简体" w:eastAsia="方正小标宋简体"/>
          <w:color w:val="000000"/>
          <w:sz w:val="36"/>
          <w:szCs w:val="36"/>
        </w:rPr>
      </w:pPr>
    </w:p>
    <w:p w:rsidR="002A46E4" w:rsidRDefault="002A46E4">
      <w:pPr>
        <w:pStyle w:val="2"/>
        <w:rPr>
          <w:rFonts w:ascii="方正小标宋简体" w:eastAsia="方正小标宋简体" w:hAnsi="Times New Roman" w:cs="Droid Sans"/>
          <w:b w:val="0"/>
          <w:bCs w:val="0"/>
          <w:color w:val="000000"/>
          <w:kern w:val="2"/>
          <w:szCs w:val="36"/>
        </w:rPr>
      </w:pPr>
    </w:p>
    <w:p w:rsidR="002A46E4" w:rsidRDefault="002A46E4"/>
    <w:p w:rsidR="002A46E4" w:rsidRDefault="002A46E4">
      <w:pPr>
        <w:spacing w:line="560" w:lineRule="exact"/>
        <w:jc w:val="center"/>
        <w:rPr>
          <w:rFonts w:ascii="Cambria" w:eastAsia="黑体" w:hAnsi="Cambria" w:cs="Times New Roman"/>
          <w:b/>
          <w:bCs/>
          <w:kern w:val="0"/>
          <w:sz w:val="36"/>
          <w:szCs w:val="32"/>
        </w:rPr>
      </w:pPr>
    </w:p>
    <w:p w:rsidR="002A46E4" w:rsidRDefault="002A46E4">
      <w:pPr>
        <w:pStyle w:val="2"/>
      </w:pPr>
    </w:p>
    <w:p w:rsidR="002A46E4" w:rsidRDefault="002E0CD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2025年度单位预算情况说明</w:t>
      </w:r>
    </w:p>
    <w:p w:rsidR="002A46E4" w:rsidRDefault="002A46E4">
      <w:pPr>
        <w:spacing w:line="360" w:lineRule="auto"/>
        <w:rPr>
          <w:rFonts w:ascii="仿宋_GB2312" w:eastAsia="仿宋_GB2312"/>
          <w:color w:val="000000"/>
          <w:sz w:val="32"/>
          <w:szCs w:val="32"/>
        </w:rPr>
      </w:pPr>
    </w:p>
    <w:p w:rsidR="002A46E4" w:rsidRDefault="002E0CD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2A46E4" w:rsidRDefault="002E0CD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根据《中共北京市委机构编制委员会关于市市场监管局和市药监局所属事业单位改革有关事项的批复》（京编委〔2021〕137号）</w:t>
      </w:r>
      <w:r w:rsidR="00EB1C0B">
        <w:rPr>
          <w:rFonts w:ascii="仿宋_GB2312" w:eastAsia="仿宋_GB2312" w:hint="eastAsia"/>
          <w:sz w:val="32"/>
          <w:szCs w:val="32"/>
        </w:rPr>
        <w:t>等</w:t>
      </w:r>
      <w:bookmarkStart w:id="0" w:name="_GoBack"/>
      <w:bookmarkEnd w:id="0"/>
      <w:r>
        <w:rPr>
          <w:rFonts w:ascii="仿宋_GB2312" w:eastAsia="仿宋_GB2312" w:hint="eastAsia"/>
          <w:sz w:val="32"/>
          <w:szCs w:val="32"/>
        </w:rPr>
        <w:t>，设立北京市药品监督管理局投诉举报中心，为正处级公益一类事业单位，是北京市药品监督管理局直属事业单位。</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主要职责：承担本市药品监管政策咨询服务、举报投诉和“接诉即办”等方面事务性工作；</w:t>
      </w:r>
      <w:proofErr w:type="gramStart"/>
      <w:r>
        <w:rPr>
          <w:rFonts w:ascii="仿宋_GB2312" w:eastAsia="仿宋_GB2312" w:hint="eastAsia"/>
          <w:sz w:val="32"/>
          <w:szCs w:val="32"/>
        </w:rPr>
        <w:t>承担市药监</w:t>
      </w:r>
      <w:proofErr w:type="gramEnd"/>
      <w:r>
        <w:rPr>
          <w:rFonts w:ascii="仿宋_GB2312" w:eastAsia="仿宋_GB2312" w:hint="eastAsia"/>
          <w:sz w:val="32"/>
          <w:szCs w:val="32"/>
        </w:rPr>
        <w:t>局新闻宣传等事务性工作。</w:t>
      </w:r>
    </w:p>
    <w:p w:rsidR="002A46E4" w:rsidRDefault="002E0CD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本单位设置内设机构3个，分别为：综合科、业务科、宣传科。</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本单位无下属单位。</w:t>
      </w:r>
    </w:p>
    <w:p w:rsidR="002A46E4" w:rsidRDefault="002E0CD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北京市药品监督管理局投诉举报中心</w:t>
      </w:r>
      <w:r>
        <w:rPr>
          <w:rFonts w:ascii="仿宋_GB2312" w:eastAsia="仿宋_GB2312" w:hint="eastAsia"/>
          <w:color w:val="000000"/>
          <w:sz w:val="32"/>
          <w:szCs w:val="32"/>
        </w:rPr>
        <w:t>事业编制20人，实有人数18人；</w:t>
      </w:r>
      <w:r>
        <w:rPr>
          <w:rFonts w:ascii="仿宋_GB2312" w:eastAsia="仿宋_GB2312" w:hint="eastAsia"/>
          <w:sz w:val="32"/>
          <w:szCs w:val="32"/>
        </w:rPr>
        <w:t>离退休人员2人，其中：退休2人。</w:t>
      </w:r>
    </w:p>
    <w:p w:rsidR="002A46E4" w:rsidRDefault="002E0CD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2025年度收入预算</w:t>
      </w:r>
      <w:r>
        <w:rPr>
          <w:rFonts w:ascii="仿宋_GB2312" w:eastAsia="仿宋_GB2312"/>
          <w:sz w:val="32"/>
          <w:szCs w:val="32"/>
        </w:rPr>
        <w:t>1080.94</w:t>
      </w:r>
      <w:r>
        <w:rPr>
          <w:rFonts w:ascii="仿宋_GB2312" w:eastAsia="仿宋_GB2312" w:hint="eastAsia"/>
          <w:sz w:val="32"/>
          <w:szCs w:val="32"/>
        </w:rPr>
        <w:t>万元，比2024年年初预算数1114.00万元减少33.06万元，下降2.97%。主要原因是</w:t>
      </w:r>
      <w:r>
        <w:rPr>
          <w:rFonts w:ascii="仿宋_GB2312" w:eastAsia="仿宋_GB2312" w:hint="eastAsia"/>
          <w:sz w:val="32"/>
          <w:szCs w:val="32"/>
        </w:rPr>
        <w:lastRenderedPageBreak/>
        <w:t>落实政府过紧日子要求，进一步压减一般性支出。</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sz w:val="32"/>
          <w:szCs w:val="32"/>
        </w:rPr>
        <w:t>1080.94</w:t>
      </w:r>
      <w:r>
        <w:rPr>
          <w:rFonts w:ascii="楷体_GB2312" w:eastAsia="楷体_GB2312" w:hint="eastAsia"/>
          <w:sz w:val="32"/>
          <w:szCs w:val="32"/>
        </w:rPr>
        <w:t>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1080.94</w:t>
      </w:r>
      <w:r>
        <w:rPr>
          <w:rFonts w:ascii="仿宋_GB2312" w:eastAsia="仿宋_GB2312" w:hint="eastAsia"/>
          <w:sz w:val="32"/>
          <w:szCs w:val="32"/>
        </w:rPr>
        <w:t>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（三）上年结转结余0万元</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10.上年结转结余0万元。</w:t>
      </w:r>
    </w:p>
    <w:p w:rsidR="002A46E4" w:rsidRDefault="002A46E4"/>
    <w:p w:rsidR="002A46E4" w:rsidRDefault="002E0CDC">
      <w:pPr>
        <w:pStyle w:val="2"/>
      </w:pPr>
      <w:r>
        <w:rPr>
          <w:rFonts w:ascii="仿宋_GB2312" w:eastAsia="仿宋_GB2312" w:hint="eastAsia"/>
          <w:b w:val="0"/>
          <w:bCs w:val="0"/>
          <w:noProof/>
          <w:sz w:val="32"/>
        </w:rPr>
        <w:drawing>
          <wp:anchor distT="0" distB="0" distL="114300" distR="114300" simplePos="0" relativeHeight="251660288" behindDoc="0" locked="0" layoutInCell="1" allowOverlap="1">
            <wp:simplePos x="0" y="0"/>
            <wp:positionH relativeFrom="column">
              <wp:posOffset>894080</wp:posOffset>
            </wp:positionH>
            <wp:positionV relativeFrom="paragraph">
              <wp:posOffset>111125</wp:posOffset>
            </wp:positionV>
            <wp:extent cx="2882265" cy="1851660"/>
            <wp:effectExtent l="12192" t="6096" r="7239" b="1524"/>
            <wp:wrapNone/>
            <wp:docPr id="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2A46E4" w:rsidRDefault="002A46E4"/>
    <w:p w:rsidR="002A46E4" w:rsidRDefault="002A46E4">
      <w:pPr>
        <w:pStyle w:val="2"/>
      </w:pPr>
    </w:p>
    <w:p w:rsidR="002A46E4" w:rsidRDefault="002A46E4"/>
    <w:p w:rsidR="002A46E4" w:rsidRDefault="002A09AA">
      <w:pPr>
        <w:spacing w:line="560" w:lineRule="exact"/>
        <w:ind w:firstLineChars="200" w:firstLine="420"/>
        <w:rPr>
          <w:rFonts w:ascii="黑体" w:eastAsia="黑体"/>
          <w:sz w:val="32"/>
          <w:szCs w:val="32"/>
        </w:rPr>
      </w:pPr>
      <w:r>
        <w:pict>
          <v:shapetype id="_x0000_t202" coordsize="21600,21600" o:spt="202" path="m,l,21600r21600,l21600,xe">
            <v:stroke joinstyle="miter"/>
            <v:path gradientshapeok="t" o:connecttype="rect"/>
          </v:shapetype>
          <v:shape id="_x0000_s1026" type="#_x0000_t202" style="position:absolute;left:0;text-align:left;margin-left:130.9pt;margin-top:14.05pt;width:127.5pt;height:39.8pt;z-index:251661312" filled="f" stroked="f">
            <v:textbox>
              <w:txbxContent>
                <w:p w:rsidR="002A46E4" w:rsidRDefault="002E0CDC">
                  <w:pPr>
                    <w:pStyle w:val="2"/>
                  </w:pPr>
                  <w:r>
                    <w:rPr>
                      <w:rFonts w:ascii="仿宋_GB2312" w:eastAsia="仿宋_GB2312" w:hint="eastAsia"/>
                      <w:sz w:val="32"/>
                    </w:rPr>
                    <w:t>图1：收入预算</w:t>
                  </w:r>
                </w:p>
                <w:p w:rsidR="002A46E4" w:rsidRDefault="002A46E4"/>
              </w:txbxContent>
            </v:textbox>
          </v:shape>
        </w:pict>
      </w:r>
    </w:p>
    <w:p w:rsidR="002A46E4" w:rsidRDefault="002A46E4">
      <w:pPr>
        <w:spacing w:line="560" w:lineRule="exact"/>
        <w:ind w:firstLineChars="200" w:firstLine="640"/>
        <w:rPr>
          <w:rFonts w:ascii="黑体" w:eastAsia="黑体"/>
          <w:sz w:val="32"/>
          <w:szCs w:val="32"/>
        </w:rPr>
      </w:pPr>
    </w:p>
    <w:p w:rsidR="002A46E4" w:rsidRDefault="002E0CDC">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2025年支出预算</w:t>
      </w:r>
      <w:r>
        <w:rPr>
          <w:rFonts w:ascii="仿宋_GB2312" w:eastAsia="仿宋_GB2312"/>
          <w:sz w:val="32"/>
          <w:szCs w:val="32"/>
        </w:rPr>
        <w:t>1080.94</w:t>
      </w:r>
      <w:r>
        <w:rPr>
          <w:rFonts w:ascii="仿宋_GB2312" w:eastAsia="仿宋_GB2312" w:hint="eastAsia"/>
          <w:sz w:val="32"/>
          <w:szCs w:val="32"/>
        </w:rPr>
        <w:t>万元，比2024年年初预算数</w:t>
      </w:r>
      <w:r>
        <w:rPr>
          <w:rFonts w:ascii="仿宋_GB2312" w:eastAsia="仿宋_GB2312" w:hint="eastAsia"/>
          <w:sz w:val="32"/>
          <w:szCs w:val="32"/>
        </w:rPr>
        <w:lastRenderedPageBreak/>
        <w:t>1114.00万元减少33.06万元，下降2.97%。主要原因是落实政府过紧日子要求，进一步压减一般性财政支出。</w:t>
      </w:r>
    </w:p>
    <w:p w:rsidR="002A46E4" w:rsidRDefault="002E0CDC">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696.9</w:t>
      </w:r>
      <w:r>
        <w:rPr>
          <w:rFonts w:ascii="仿宋_GB2312" w:eastAsia="仿宋_GB2312" w:hint="eastAsia"/>
          <w:sz w:val="32"/>
          <w:szCs w:val="32"/>
        </w:rPr>
        <w:t>6万元，占本年支出预算64.48%，比2024年年初预算数709.72万元减少12.76万元，下降1.8</w:t>
      </w:r>
      <w:r w:rsidR="00D05E38">
        <w:rPr>
          <w:rFonts w:ascii="仿宋_GB2312" w:eastAsia="仿宋_GB2312" w:hint="eastAsia"/>
          <w:sz w:val="32"/>
          <w:szCs w:val="32"/>
        </w:rPr>
        <w:t>0</w:t>
      </w:r>
      <w:r>
        <w:rPr>
          <w:rFonts w:ascii="仿宋_GB2312" w:eastAsia="仿宋_GB2312" w:hint="eastAsia"/>
          <w:sz w:val="32"/>
          <w:szCs w:val="32"/>
        </w:rPr>
        <w:t>%。</w:t>
      </w:r>
    </w:p>
    <w:p w:rsidR="002A46E4" w:rsidRDefault="002E0CDC">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383.9</w:t>
      </w:r>
      <w:r w:rsidR="003B4F7C">
        <w:rPr>
          <w:rFonts w:ascii="仿宋_GB2312" w:eastAsia="仿宋_GB2312" w:hint="eastAsia"/>
          <w:sz w:val="32"/>
          <w:szCs w:val="32"/>
        </w:rPr>
        <w:t>9</w:t>
      </w:r>
      <w:r>
        <w:rPr>
          <w:rFonts w:ascii="仿宋_GB2312" w:eastAsia="仿宋_GB2312" w:hint="eastAsia"/>
          <w:sz w:val="32"/>
          <w:szCs w:val="32"/>
        </w:rPr>
        <w:t>万元，比2024年年初预算数404.2</w:t>
      </w:r>
      <w:r w:rsidR="003B4F7C">
        <w:rPr>
          <w:rFonts w:ascii="仿宋_GB2312" w:eastAsia="仿宋_GB2312" w:hint="eastAsia"/>
          <w:sz w:val="32"/>
          <w:szCs w:val="32"/>
        </w:rPr>
        <w:t>7</w:t>
      </w:r>
      <w:r>
        <w:rPr>
          <w:rFonts w:ascii="仿宋_GB2312" w:eastAsia="仿宋_GB2312" w:hint="eastAsia"/>
          <w:sz w:val="32"/>
          <w:szCs w:val="32"/>
        </w:rPr>
        <w:t>万元减少20.</w:t>
      </w:r>
      <w:r w:rsidR="003B4F7C">
        <w:rPr>
          <w:rFonts w:ascii="仿宋_GB2312" w:eastAsia="仿宋_GB2312" w:hint="eastAsia"/>
          <w:sz w:val="32"/>
          <w:szCs w:val="32"/>
        </w:rPr>
        <w:t>28</w:t>
      </w:r>
      <w:r>
        <w:rPr>
          <w:rFonts w:ascii="仿宋_GB2312" w:eastAsia="仿宋_GB2312" w:hint="eastAsia"/>
          <w:sz w:val="32"/>
          <w:szCs w:val="32"/>
        </w:rPr>
        <w:t>万元，下降5.02%。其中：</w:t>
      </w:r>
    </w:p>
    <w:p w:rsidR="002A46E4" w:rsidRDefault="002E0CDC">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rsidR="002A46E4" w:rsidRDefault="002E0CDC">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rsidR="002A46E4" w:rsidRDefault="002E0CDC">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rsidR="002A46E4" w:rsidRDefault="002E0CDC">
      <w:pPr>
        <w:pStyle w:val="2"/>
        <w:ind w:firstLine="642"/>
        <w:jc w:val="center"/>
      </w:pPr>
      <w:r>
        <w:rPr>
          <w:noProof/>
        </w:rPr>
        <w:drawing>
          <wp:inline distT="0" distB="0" distL="0" distR="0">
            <wp:extent cx="4000500" cy="1851660"/>
            <wp:effectExtent l="0" t="0" r="0" b="0"/>
            <wp:docPr id="1"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A46E4" w:rsidRDefault="002E0CDC">
      <w:pPr>
        <w:pStyle w:val="2"/>
        <w:ind w:firstLine="642"/>
        <w:jc w:val="center"/>
        <w:rPr>
          <w:sz w:val="32"/>
        </w:rPr>
      </w:pPr>
      <w:r>
        <w:rPr>
          <w:rFonts w:ascii="仿宋_GB2312" w:eastAsia="仿宋_GB2312" w:hint="eastAsia"/>
          <w:sz w:val="32"/>
        </w:rPr>
        <w:t>图2：基本支出和项目支出情况</w:t>
      </w:r>
    </w:p>
    <w:p w:rsidR="002A46E4" w:rsidRDefault="002E0CDC">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年终结转结余资金0万元</w:t>
      </w:r>
    </w:p>
    <w:p w:rsidR="002A46E4" w:rsidRDefault="002E0CDC">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2A46E4" w:rsidRDefault="002E0CDC">
      <w:pPr>
        <w:spacing w:line="560" w:lineRule="exact"/>
        <w:ind w:firstLineChars="200" w:firstLine="640"/>
        <w:rPr>
          <w:rFonts w:ascii="楷体_GB2312" w:eastAsia="楷体_GB2312"/>
          <w:sz w:val="32"/>
          <w:szCs w:val="32"/>
        </w:rPr>
      </w:pPr>
      <w:r>
        <w:rPr>
          <w:rFonts w:ascii="仿宋_GB2312" w:eastAsia="仿宋_GB2312" w:hint="eastAsia"/>
          <w:sz w:val="32"/>
          <w:szCs w:val="32"/>
        </w:rPr>
        <w:t>本单位2025年无财政拨款安排的“三公”经费预算。</w:t>
      </w:r>
    </w:p>
    <w:p w:rsidR="002A46E4" w:rsidRDefault="002E0CDC">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2025年北京市药品监督管理局投诉举报中心政府采购预算总额</w:t>
      </w:r>
      <w:r>
        <w:rPr>
          <w:rFonts w:ascii="仿宋_GB2312" w:eastAsia="仿宋_GB2312"/>
          <w:sz w:val="32"/>
          <w:szCs w:val="32"/>
        </w:rPr>
        <w:t>305.03</w:t>
      </w:r>
      <w:r>
        <w:rPr>
          <w:rFonts w:ascii="仿宋_GB2312" w:eastAsia="仿宋_GB2312" w:hint="eastAsia"/>
          <w:sz w:val="32"/>
          <w:szCs w:val="32"/>
        </w:rPr>
        <w:t>万元，其中：政府采购货物预算7.02万元，政府采购工程预算0万元，政府采购服务预算</w:t>
      </w:r>
      <w:r>
        <w:rPr>
          <w:rFonts w:ascii="仿宋_GB2312" w:eastAsia="仿宋_GB2312"/>
          <w:sz w:val="32"/>
          <w:szCs w:val="32"/>
        </w:rPr>
        <w:t>298.01</w:t>
      </w:r>
      <w:r>
        <w:rPr>
          <w:rFonts w:ascii="仿宋_GB2312" w:eastAsia="仿宋_GB2312" w:hint="eastAsia"/>
          <w:sz w:val="32"/>
          <w:szCs w:val="32"/>
        </w:rPr>
        <w:t>万元。</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本单位2025年无政府购买服务预算。</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2A46E4" w:rsidRDefault="002E0CDC">
      <w:pPr>
        <w:spacing w:line="560" w:lineRule="exact"/>
        <w:ind w:firstLineChars="200" w:firstLine="640"/>
      </w:pPr>
      <w:r>
        <w:rPr>
          <w:rFonts w:ascii="仿宋_GB2312" w:eastAsia="仿宋_GB2312" w:hint="eastAsia"/>
          <w:color w:val="000000"/>
          <w:sz w:val="32"/>
          <w:szCs w:val="32"/>
        </w:rPr>
        <w:t>本单位不在机关运行经费统计范围之内。</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2A46E4" w:rsidRDefault="002E0CDC">
      <w:pPr>
        <w:spacing w:line="560" w:lineRule="exact"/>
        <w:ind w:firstLineChars="200" w:firstLine="640"/>
        <w:rPr>
          <w:rFonts w:ascii="仿宋_GB2312" w:eastAsia="仿宋_GB2312"/>
          <w:sz w:val="32"/>
          <w:szCs w:val="32"/>
        </w:rPr>
      </w:pPr>
      <w:r>
        <w:rPr>
          <w:rFonts w:ascii="仿宋_GB2312" w:eastAsia="仿宋_GB2312" w:hint="eastAsia"/>
          <w:sz w:val="32"/>
          <w:szCs w:val="32"/>
        </w:rPr>
        <w:t>2025年，北京市药品监督管理局投诉举报中心填报绩效目标的预算项目5个，占本单位本年预算项目5个的100%。填报绩效目标的项目支出预算383.99万元，占本单位本年项目支出预算的100%。</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2A46E4" w:rsidRDefault="002E0CDC">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本单位2025年无重点行政事业性收费。</w:t>
      </w:r>
    </w:p>
    <w:p w:rsidR="002A46E4" w:rsidRDefault="002E0CDC">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本单位2025</w:t>
      </w:r>
      <w:r>
        <w:rPr>
          <w:rFonts w:ascii="仿宋_GB2312" w:eastAsia="仿宋_GB2312" w:hint="eastAsia"/>
          <w:color w:val="000000"/>
          <w:sz w:val="32"/>
          <w:szCs w:val="32"/>
        </w:rPr>
        <w:t>年无国有资本经营预算财政拨款安排的预算。</w:t>
      </w:r>
    </w:p>
    <w:p w:rsidR="002A46E4" w:rsidRDefault="002E0CDC">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（七）国有资产占用情况说明</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截至2024年底，</w:t>
      </w:r>
      <w:r>
        <w:rPr>
          <w:rFonts w:ascii="仿宋_GB2312" w:eastAsia="仿宋_GB2312" w:hint="eastAsia"/>
          <w:sz w:val="32"/>
          <w:szCs w:val="32"/>
        </w:rPr>
        <w:t>北京市药品监督管理局投诉举报中心</w:t>
      </w:r>
      <w:r>
        <w:rPr>
          <w:rFonts w:ascii="仿宋_GB2312" w:eastAsia="仿宋_GB2312" w:hint="eastAsia"/>
          <w:color w:val="000000"/>
          <w:sz w:val="32"/>
          <w:szCs w:val="32"/>
        </w:rPr>
        <w:t>共有车辆0台，共计0万元；单位价值50万元以上的设备0台（套）、共计0万元。2025年预算安排中，购置单位价值50万元以上的设备0台（套），共计0万元。</w:t>
      </w:r>
    </w:p>
    <w:p w:rsidR="002A46E4" w:rsidRDefault="002E0CD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w:t>
      </w:r>
      <w:r>
        <w:rPr>
          <w:rFonts w:ascii="仿宋_GB2312" w:eastAsia="仿宋_GB2312" w:hint="eastAsia"/>
          <w:color w:val="000000"/>
          <w:sz w:val="32"/>
          <w:szCs w:val="32"/>
        </w:rPr>
        <w:lastRenderedPageBreak/>
        <w:t>而发生的人员支出和公用支出。</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2A46E4" w:rsidRDefault="002E0CD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2A46E4" w:rsidRDefault="002A46E4">
      <w:pPr>
        <w:spacing w:line="560" w:lineRule="exact"/>
        <w:jc w:val="center"/>
        <w:rPr>
          <w:rFonts w:ascii="方正小标宋简体" w:eastAsia="方正小标宋简体"/>
          <w:color w:val="000000"/>
          <w:sz w:val="36"/>
          <w:szCs w:val="36"/>
        </w:rPr>
      </w:pPr>
    </w:p>
    <w:p w:rsidR="002A46E4" w:rsidRDefault="002E0CD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2025年度单位预算报表</w:t>
      </w:r>
    </w:p>
    <w:p w:rsidR="002A46E4" w:rsidRDefault="002E0CDC" w:rsidP="007E58B6">
      <w:pPr>
        <w:spacing w:line="560" w:lineRule="exact"/>
        <w:ind w:firstLineChars="200" w:firstLine="640"/>
      </w:pPr>
      <w:r>
        <w:rPr>
          <w:rFonts w:ascii="仿宋_GB2312" w:eastAsia="仿宋_GB2312" w:hint="eastAsia"/>
          <w:color w:val="000000"/>
          <w:sz w:val="32"/>
          <w:szCs w:val="32"/>
        </w:rPr>
        <w:t>附件：</w:t>
      </w:r>
      <w:r>
        <w:rPr>
          <w:rFonts w:ascii="仿宋_GB2312" w:eastAsia="仿宋_GB2312" w:hint="eastAsia"/>
          <w:sz w:val="32"/>
          <w:szCs w:val="32"/>
        </w:rPr>
        <w:t>北京市药品监督管理局投诉举报中心</w:t>
      </w:r>
      <w:r>
        <w:rPr>
          <w:rFonts w:ascii="仿宋_GB2312" w:eastAsia="仿宋_GB2312" w:hint="eastAsia"/>
          <w:color w:val="000000"/>
          <w:sz w:val="32"/>
          <w:szCs w:val="32"/>
        </w:rPr>
        <w:t>2025年度单位预算报表</w:t>
      </w:r>
    </w:p>
    <w:p w:rsidR="002A46E4" w:rsidRDefault="002A46E4">
      <w:bookmarkStart w:id="1" w:name="chaosong"/>
      <w:bookmarkEnd w:id="1"/>
    </w:p>
    <w:sectPr w:rsidR="002A46E4" w:rsidSect="002A46E4">
      <w:footerReference w:type="default" r:id="rId11"/>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9AA" w:rsidRDefault="002A09AA" w:rsidP="002A46E4">
      <w:r>
        <w:separator/>
      </w:r>
    </w:p>
  </w:endnote>
  <w:endnote w:type="continuationSeparator" w:id="0">
    <w:p w:rsidR="002A09AA" w:rsidRDefault="002A09AA" w:rsidP="002A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华文中宋"/>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E4" w:rsidRDefault="002A09AA">
    <w:pPr>
      <w:pStyle w:val="a4"/>
      <w:jc w:val="right"/>
      <w:rPr>
        <w:rFonts w:ascii="宋体" w:hAnsi="宋体"/>
        <w:sz w:val="28"/>
        <w:szCs w:val="28"/>
      </w:rPr>
    </w:pPr>
    <w:r>
      <w:rPr>
        <w:sz w:val="28"/>
      </w:rPr>
      <w:pict>
        <v:shapetype id="_x0000_t202" coordsize="21600,21600" o:spt="202" path="m,l,21600r21600,l21600,xe">
          <v:stroke joinstyle="miter"/>
          <v:path gradientshapeok="t" o:connecttype="rect"/>
        </v:shapetype>
        <v:shape id="_x0000_s2049" type="#_x0000_t202" style="position:absolute;left:0;text-align:left;margin-left:289.6pt;margin-top:0;width:2in;height:2in;z-index:251660288;mso-wrap-style:none;mso-position-horizontal:outside;mso-position-horizontal-relative:margin" filled="f" stroked="f">
          <v:textbox style="mso-fit-shape-to-text:t" inset="0,0,0,0">
            <w:txbxContent>
              <w:p w:rsidR="002A46E4" w:rsidRDefault="002A46E4">
                <w:pPr>
                  <w:pStyle w:val="a4"/>
                  <w:jc w:val="right"/>
                </w:pPr>
                <w:r>
                  <w:rPr>
                    <w:rFonts w:ascii="宋体" w:hAnsi="宋体"/>
                    <w:sz w:val="28"/>
                    <w:szCs w:val="28"/>
                  </w:rPr>
                  <w:fldChar w:fldCharType="begin"/>
                </w:r>
                <w:r w:rsidR="002E0CDC">
                  <w:rPr>
                    <w:rFonts w:ascii="宋体" w:hAnsi="宋体"/>
                    <w:sz w:val="28"/>
                    <w:szCs w:val="28"/>
                  </w:rPr>
                  <w:instrText>PAGE   \* MERGEFORMAT</w:instrText>
                </w:r>
                <w:r>
                  <w:rPr>
                    <w:rFonts w:ascii="宋体" w:hAnsi="宋体"/>
                    <w:sz w:val="28"/>
                    <w:szCs w:val="28"/>
                  </w:rPr>
                  <w:fldChar w:fldCharType="separate"/>
                </w:r>
                <w:r w:rsidR="00EB1C0B" w:rsidRPr="00EB1C0B">
                  <w:rPr>
                    <w:rFonts w:ascii="宋体" w:hAnsi="宋体"/>
                    <w:noProof/>
                    <w:sz w:val="28"/>
                    <w:szCs w:val="28"/>
                    <w:lang w:val="zh-CN"/>
                  </w:rPr>
                  <w:t>-</w:t>
                </w:r>
                <w:r w:rsidR="00EB1C0B">
                  <w:rPr>
                    <w:rFonts w:ascii="宋体" w:hAnsi="宋体"/>
                    <w:noProof/>
                    <w:sz w:val="28"/>
                    <w:szCs w:val="28"/>
                  </w:rPr>
                  <w:t xml:space="preserve"> 3 -</w:t>
                </w:r>
                <w:r>
                  <w:rPr>
                    <w:rFonts w:ascii="宋体" w:hAnsi="宋体"/>
                    <w:sz w:val="28"/>
                    <w:szCs w:val="28"/>
                  </w:rPr>
                  <w:fldChar w:fldCharType="end"/>
                </w:r>
              </w:p>
            </w:txbxContent>
          </v:textbox>
          <w10:wrap anchorx="margin"/>
        </v:shape>
      </w:pict>
    </w:r>
  </w:p>
  <w:p w:rsidR="002A46E4" w:rsidRDefault="002A46E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9AA" w:rsidRDefault="002A09AA" w:rsidP="002A46E4">
      <w:r>
        <w:separator/>
      </w:r>
    </w:p>
  </w:footnote>
  <w:footnote w:type="continuationSeparator" w:id="0">
    <w:p w:rsidR="002A09AA" w:rsidRDefault="002A09AA" w:rsidP="002A4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16735"/>
    <w:rsid w:val="F1F9790F"/>
    <w:rsid w:val="000A50A4"/>
    <w:rsid w:val="000B3EC8"/>
    <w:rsid w:val="000C36B2"/>
    <w:rsid w:val="00116735"/>
    <w:rsid w:val="002A09AA"/>
    <w:rsid w:val="002A46E4"/>
    <w:rsid w:val="002E0CDC"/>
    <w:rsid w:val="003B4F7C"/>
    <w:rsid w:val="006734F9"/>
    <w:rsid w:val="007E58B6"/>
    <w:rsid w:val="00806945"/>
    <w:rsid w:val="00836779"/>
    <w:rsid w:val="008D2664"/>
    <w:rsid w:val="00981809"/>
    <w:rsid w:val="00D05E24"/>
    <w:rsid w:val="00D05E38"/>
    <w:rsid w:val="00D22016"/>
    <w:rsid w:val="00D52F0A"/>
    <w:rsid w:val="00EB1C0B"/>
    <w:rsid w:val="00F277B7"/>
    <w:rsid w:val="00FC2214"/>
    <w:rsid w:val="00FF4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A46E4"/>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rsid w:val="002A46E4"/>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A46E4"/>
    <w:rPr>
      <w:sz w:val="18"/>
      <w:szCs w:val="18"/>
    </w:rPr>
  </w:style>
  <w:style w:type="paragraph" w:styleId="a4">
    <w:name w:val="footer"/>
    <w:basedOn w:val="a"/>
    <w:link w:val="Char0"/>
    <w:uiPriority w:val="99"/>
    <w:unhideWhenUsed/>
    <w:qFormat/>
    <w:rsid w:val="002A46E4"/>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2A46E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2A46E4"/>
    <w:rPr>
      <w:sz w:val="18"/>
      <w:szCs w:val="18"/>
    </w:rPr>
  </w:style>
  <w:style w:type="character" w:customStyle="1" w:styleId="Char0">
    <w:name w:val="页脚 Char"/>
    <w:basedOn w:val="a0"/>
    <w:link w:val="a4"/>
    <w:uiPriority w:val="99"/>
    <w:qFormat/>
    <w:rsid w:val="002A46E4"/>
    <w:rPr>
      <w:sz w:val="18"/>
      <w:szCs w:val="18"/>
    </w:rPr>
  </w:style>
  <w:style w:type="character" w:customStyle="1" w:styleId="2Char">
    <w:name w:val="标题 2 Char"/>
    <w:basedOn w:val="a0"/>
    <w:link w:val="2"/>
    <w:qFormat/>
    <w:rsid w:val="002A46E4"/>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sid w:val="002A46E4"/>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___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收入预算</c:v>
                </c:pt>
              </c:strCache>
            </c:strRef>
          </c:tx>
          <c:dPt>
            <c:idx val="0"/>
            <c:bubble3D val="0"/>
            <c:spPr>
              <a:solidFill>
                <a:schemeClr val="accent1"/>
              </a:solidFill>
              <a:ln>
                <a:noFill/>
              </a:ln>
              <a:effectLst>
                <a:outerShdw blurRad="254000" sx="102000" sy="102000" algn="ctr" rotWithShape="0">
                  <a:prstClr val="black">
                    <a:alpha val="20000"/>
                  </a:prstClr>
                </a:outerShdw>
              </a:effectLst>
            </c:spPr>
          </c:dPt>
          <c:dLbls>
            <c:dLbl>
              <c:idx val="0"/>
              <c:layout>
                <c:manualLayout>
                  <c:x val="-1.7654265677422901E-3"/>
                  <c:y val="-0.3737850787104611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chemeClr val="dk1">
                          <a:lumMod val="50000"/>
                          <a:lumOff val="50000"/>
                        </a:schemeClr>
                      </a:solidFill>
                      <a:prstDash val="solid"/>
                      <a:round/>
                    </a:ln>
                    <a:effectLst/>
                  </c:spPr>
                </c15:leaderLines>
              </c:ext>
            </c:extLst>
          </c:dLbls>
          <c:cat>
            <c:strRef>
              <c:f>Sheet1!$A$2</c:f>
              <c:strCache>
                <c:ptCount val="1"/>
                <c:pt idx="0">
                  <c:v>一般公共预算拨款收入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prstDash val="solid"/>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2</c:v>
                </c:pt>
              </c:strCache>
            </c:strRef>
          </c:tx>
          <c:dLbls>
            <c:dLbl>
              <c:idx val="1"/>
              <c:layout>
                <c:manualLayout>
                  <c:x val="0.12409983485991502"/>
                  <c:y val="7.8286406149695814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w="25407">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Sheet1!$A$2:$A$3</c:f>
              <c:strCache>
                <c:ptCount val="2"/>
                <c:pt idx="0">
                  <c:v>基本支出</c:v>
                </c:pt>
                <c:pt idx="1">
                  <c:v>项目支出</c:v>
                </c:pt>
              </c:strCache>
            </c:strRef>
          </c:cat>
          <c:val>
            <c:numRef>
              <c:f>Sheet1!$B$2:$B$3</c:f>
              <c:numCache>
                <c:formatCode>0.00%</c:formatCode>
                <c:ptCount val="2"/>
                <c:pt idx="0">
                  <c:v>0.64480000000000026</c:v>
                </c:pt>
                <c:pt idx="1">
                  <c:v>0.35520000000000002</c:v>
                </c:pt>
              </c:numCache>
            </c:numRef>
          </c:val>
        </c:ser>
        <c:dLbls>
          <c:showLegendKey val="0"/>
          <c:showVal val="0"/>
          <c:showCatName val="0"/>
          <c:showSerName val="0"/>
          <c:showPercent val="1"/>
          <c:showBubbleSize val="0"/>
          <c:showLeaderLines val="1"/>
        </c:dLbls>
        <c:firstSliceAng val="0"/>
      </c:pieChart>
      <c:spPr>
        <a:noFill/>
        <a:ln w="25407">
          <a:noFill/>
        </a:ln>
      </c:spPr>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showDLblsOverMax val="0"/>
  </c:chart>
  <c:txPr>
    <a:bodyPr/>
    <a:lstStyle/>
    <a:p>
      <a:pPr>
        <a:defRPr lang="zh-CN"/>
      </a:pPr>
      <a:endParaRPr lang="zh-CN"/>
    </a:p>
  </c:tx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peixue</dc:creator>
  <cp:lastModifiedBy>niyuanhui</cp:lastModifiedBy>
  <cp:revision>7</cp:revision>
  <dcterms:created xsi:type="dcterms:W3CDTF">2025-02-24T10:13:00Z</dcterms:created>
  <dcterms:modified xsi:type="dcterms:W3CDTF">2025-03-06T03:14:00Z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