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70E" w:rsidRDefault="00CE670E">
      <w:pPr>
        <w:jc w:val="center"/>
        <w:rPr>
          <w:rFonts w:ascii="仿宋_GB2312" w:eastAsia="仿宋_GB2312"/>
          <w:b/>
          <w:sz w:val="32"/>
          <w:szCs w:val="32"/>
        </w:rPr>
      </w:pPr>
    </w:p>
    <w:p w:rsidR="00CE670E" w:rsidRDefault="00CE670E">
      <w:pPr>
        <w:jc w:val="center"/>
        <w:rPr>
          <w:rFonts w:ascii="黑体" w:eastAsia="黑体"/>
          <w:sz w:val="72"/>
          <w:szCs w:val="72"/>
        </w:rPr>
      </w:pPr>
    </w:p>
    <w:p w:rsidR="00CE670E" w:rsidRDefault="00CE670E">
      <w:pPr>
        <w:jc w:val="center"/>
        <w:rPr>
          <w:rFonts w:ascii="黑体" w:eastAsia="黑体"/>
          <w:sz w:val="72"/>
          <w:szCs w:val="72"/>
        </w:rPr>
      </w:pPr>
    </w:p>
    <w:p w:rsidR="00CE670E" w:rsidRDefault="00CE670E">
      <w:pPr>
        <w:jc w:val="center"/>
        <w:rPr>
          <w:rFonts w:ascii="黑体" w:eastAsia="黑体"/>
          <w:sz w:val="72"/>
          <w:szCs w:val="72"/>
        </w:rPr>
      </w:pPr>
    </w:p>
    <w:p w:rsidR="00CE670E" w:rsidRDefault="00CE670E">
      <w:pPr>
        <w:jc w:val="center"/>
        <w:rPr>
          <w:rFonts w:ascii="黑体" w:eastAsia="黑体"/>
          <w:sz w:val="72"/>
          <w:szCs w:val="72"/>
        </w:rPr>
      </w:pPr>
    </w:p>
    <w:p w:rsidR="00CE670E" w:rsidRDefault="000C0982">
      <w:pPr>
        <w:jc w:val="center"/>
        <w:rPr>
          <w:rFonts w:ascii="黑体" w:eastAsia="黑体"/>
          <w:sz w:val="72"/>
          <w:szCs w:val="72"/>
        </w:rPr>
      </w:pPr>
      <w:r>
        <w:rPr>
          <w:rFonts w:ascii="黑体" w:eastAsia="黑体" w:hint="eastAsia"/>
          <w:sz w:val="72"/>
          <w:szCs w:val="72"/>
        </w:rPr>
        <w:t>2024年度单位决算（公开</w:t>
      </w:r>
      <w:r>
        <w:rPr>
          <w:rFonts w:ascii="黑体" w:eastAsia="黑体"/>
          <w:sz w:val="72"/>
          <w:szCs w:val="72"/>
        </w:rPr>
        <w:t>）</w:t>
      </w:r>
    </w:p>
    <w:p w:rsidR="00CE670E" w:rsidRPr="004911DD" w:rsidRDefault="00CE670E">
      <w:pPr>
        <w:jc w:val="center"/>
        <w:rPr>
          <w:rFonts w:ascii="黑体" w:eastAsia="黑体"/>
          <w:sz w:val="52"/>
          <w:szCs w:val="52"/>
        </w:rPr>
      </w:pPr>
    </w:p>
    <w:p w:rsidR="00CE670E" w:rsidRDefault="00CE670E">
      <w:pPr>
        <w:jc w:val="center"/>
        <w:rPr>
          <w:rFonts w:ascii="黑体" w:eastAsia="黑体"/>
          <w:sz w:val="52"/>
          <w:szCs w:val="52"/>
        </w:rPr>
      </w:pPr>
    </w:p>
    <w:p w:rsidR="00CE670E" w:rsidRDefault="00CE670E">
      <w:pPr>
        <w:jc w:val="center"/>
        <w:rPr>
          <w:rFonts w:ascii="黑体" w:eastAsia="黑体"/>
          <w:sz w:val="52"/>
          <w:szCs w:val="52"/>
        </w:rPr>
      </w:pPr>
    </w:p>
    <w:p w:rsidR="00CE670E" w:rsidRDefault="00CE670E">
      <w:pPr>
        <w:jc w:val="center"/>
        <w:rPr>
          <w:rFonts w:ascii="黑体" w:eastAsia="黑体"/>
          <w:sz w:val="52"/>
          <w:szCs w:val="52"/>
        </w:rPr>
      </w:pPr>
    </w:p>
    <w:p w:rsidR="00CE670E" w:rsidRDefault="00CE670E">
      <w:pPr>
        <w:jc w:val="center"/>
        <w:rPr>
          <w:rFonts w:ascii="黑体" w:eastAsia="黑体"/>
          <w:sz w:val="32"/>
          <w:szCs w:val="32"/>
        </w:rPr>
      </w:pPr>
    </w:p>
    <w:p w:rsidR="00CE670E" w:rsidRDefault="000C0982">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CE670E" w:rsidRDefault="00CE670E">
      <w:pPr>
        <w:spacing w:line="500" w:lineRule="exact"/>
        <w:ind w:firstLine="645"/>
        <w:jc w:val="center"/>
        <w:rPr>
          <w:rFonts w:ascii="宋体" w:hAnsi="宋体" w:cs="宋体"/>
          <w:b/>
          <w:bCs/>
          <w:kern w:val="0"/>
          <w:sz w:val="36"/>
          <w:szCs w:val="36"/>
        </w:rPr>
      </w:pPr>
    </w:p>
    <w:p w:rsidR="00CE670E" w:rsidRDefault="000C098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2024年度单位决算报表</w:t>
      </w:r>
    </w:p>
    <w:p w:rsidR="00CE670E" w:rsidRDefault="000C0982">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CE670E" w:rsidRDefault="000C0982">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CE670E" w:rsidRDefault="000C0982">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2024年度单位决算说明</w:t>
      </w:r>
    </w:p>
    <w:p w:rsidR="00CE670E" w:rsidRDefault="000C0982">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2024年度</w:t>
      </w:r>
      <w:r>
        <w:rPr>
          <w:rFonts w:ascii="宋体" w:hAnsi="宋体" w:cs="宋体" w:hint="eastAsia"/>
          <w:spacing w:val="40"/>
          <w:kern w:val="0"/>
          <w:sz w:val="32"/>
          <w:szCs w:val="32"/>
        </w:rPr>
        <w:t>其他重要事项的情况说明</w:t>
      </w:r>
    </w:p>
    <w:p w:rsidR="00CE670E" w:rsidRDefault="000C0982">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2024年度单位绩效评价情况</w:t>
      </w:r>
    </w:p>
    <w:p w:rsidR="00CE670E" w:rsidRDefault="00CE670E">
      <w:pPr>
        <w:tabs>
          <w:tab w:val="center" w:pos="6979"/>
        </w:tabs>
        <w:spacing w:beforeLines="50" w:before="156" w:afterLines="50" w:after="156"/>
        <w:jc w:val="center"/>
        <w:rPr>
          <w:rFonts w:ascii="宋体" w:hAnsi="宋体" w:cs="宋体"/>
          <w:b/>
          <w:bCs/>
          <w:spacing w:val="40"/>
          <w:kern w:val="0"/>
          <w:sz w:val="32"/>
          <w:szCs w:val="32"/>
        </w:rPr>
      </w:pPr>
    </w:p>
    <w:p w:rsidR="00CE670E" w:rsidRDefault="00CE670E">
      <w:pPr>
        <w:tabs>
          <w:tab w:val="center" w:pos="6979"/>
        </w:tabs>
        <w:spacing w:beforeLines="50" w:before="156" w:afterLines="50" w:after="156"/>
        <w:jc w:val="center"/>
        <w:rPr>
          <w:rFonts w:ascii="宋体" w:hAnsi="宋体" w:cs="宋体"/>
          <w:b/>
          <w:bCs/>
          <w:spacing w:val="40"/>
          <w:kern w:val="0"/>
          <w:sz w:val="32"/>
          <w:szCs w:val="32"/>
        </w:rPr>
      </w:pPr>
    </w:p>
    <w:p w:rsidR="00CE670E" w:rsidRDefault="00CE670E">
      <w:pPr>
        <w:tabs>
          <w:tab w:val="center" w:pos="6979"/>
        </w:tabs>
        <w:spacing w:beforeLines="50" w:before="156" w:afterLines="50" w:after="156"/>
        <w:jc w:val="center"/>
        <w:rPr>
          <w:rFonts w:ascii="宋体" w:hAnsi="宋体" w:cs="宋体"/>
          <w:b/>
          <w:bCs/>
          <w:spacing w:val="40"/>
          <w:kern w:val="0"/>
          <w:sz w:val="32"/>
          <w:szCs w:val="32"/>
        </w:rPr>
      </w:pPr>
    </w:p>
    <w:p w:rsidR="00CE670E" w:rsidRDefault="00CE670E">
      <w:pPr>
        <w:tabs>
          <w:tab w:val="center" w:pos="6979"/>
        </w:tabs>
        <w:spacing w:beforeLines="50" w:before="156" w:afterLines="50" w:after="156"/>
        <w:jc w:val="center"/>
        <w:rPr>
          <w:rFonts w:ascii="宋体" w:hAnsi="宋体" w:cs="宋体"/>
          <w:b/>
          <w:bCs/>
          <w:spacing w:val="40"/>
          <w:kern w:val="0"/>
          <w:sz w:val="32"/>
          <w:szCs w:val="32"/>
        </w:rPr>
      </w:pPr>
    </w:p>
    <w:p w:rsidR="00CE670E" w:rsidRDefault="00CE670E">
      <w:pPr>
        <w:tabs>
          <w:tab w:val="center" w:pos="6979"/>
        </w:tabs>
        <w:spacing w:beforeLines="50" w:before="156" w:afterLines="50" w:after="156"/>
        <w:jc w:val="center"/>
        <w:rPr>
          <w:rFonts w:ascii="宋体" w:hAnsi="宋体" w:cs="宋体"/>
          <w:b/>
          <w:bCs/>
          <w:spacing w:val="40"/>
          <w:kern w:val="0"/>
          <w:sz w:val="32"/>
          <w:szCs w:val="32"/>
        </w:rPr>
      </w:pPr>
    </w:p>
    <w:p w:rsidR="00CE670E" w:rsidRDefault="000C0982">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2024年度单位决算报表</w:t>
      </w:r>
    </w:p>
    <w:p w:rsidR="00CE670E" w:rsidRDefault="000C0982">
      <w:pPr>
        <w:pStyle w:val="2"/>
        <w:rPr>
          <w:b w:val="0"/>
          <w:bCs w:val="0"/>
        </w:rPr>
        <w:sectPr w:rsidR="00CE670E">
          <w:footerReference w:type="default" r:id="rId9"/>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CE670E" w:rsidRDefault="000C0982">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2024年度单位决算说明</w:t>
      </w:r>
    </w:p>
    <w:p w:rsidR="00CE670E" w:rsidRDefault="000C0982" w:rsidP="00CD2D9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（一）本单位性质、职责等情况</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根据《中共北京市委机构编制委员会关于市市场监管局和市药监局所属事业单位改革有关事项的批复》（京编委</w:t>
      </w:r>
      <w:r>
        <w:rPr>
          <w:rFonts w:ascii="方正隶书_GBK" w:eastAsia="方正隶书_GBK" w:hAnsi="方正隶书_GBK" w:cs="方正隶书_GBK" w:hint="eastAsia"/>
          <w:sz w:val="28"/>
          <w:szCs w:val="28"/>
        </w:rPr>
        <w:t>〔</w:t>
      </w:r>
      <w:r>
        <w:rPr>
          <w:rFonts w:ascii="仿宋_GB2312" w:eastAsia="仿宋_GB2312" w:hint="eastAsia"/>
          <w:sz w:val="28"/>
          <w:szCs w:val="28"/>
        </w:rPr>
        <w:t>2021</w:t>
      </w:r>
      <w:r>
        <w:rPr>
          <w:rFonts w:ascii="方正书宋_GBK" w:eastAsia="方正书宋_GBK" w:hAnsi="方正书宋_GBK" w:cs="方正书宋_GBK" w:hint="eastAsia"/>
          <w:sz w:val="28"/>
          <w:szCs w:val="28"/>
        </w:rPr>
        <w:t>〕</w:t>
      </w:r>
      <w:r>
        <w:rPr>
          <w:rFonts w:ascii="仿宋_GB2312" w:eastAsia="仿宋_GB2312" w:hint="eastAsia"/>
          <w:sz w:val="28"/>
          <w:szCs w:val="28"/>
        </w:rPr>
        <w:t>137号），北京市化妆品审评检查中心为北京市药品监督管理局所属正处级公益一类事业单位。</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主要职责：1.承担本市普通化妆品备案的审查工作；2.</w:t>
      </w:r>
      <w:proofErr w:type="gramStart"/>
      <w:r>
        <w:rPr>
          <w:rFonts w:ascii="仿宋_GB2312" w:eastAsia="仿宋_GB2312" w:hint="eastAsia"/>
          <w:sz w:val="28"/>
          <w:szCs w:val="28"/>
        </w:rPr>
        <w:t>受市药监</w:t>
      </w:r>
      <w:proofErr w:type="gramEnd"/>
      <w:r>
        <w:rPr>
          <w:rFonts w:ascii="仿宋_GB2312" w:eastAsia="仿宋_GB2312" w:hint="eastAsia"/>
          <w:sz w:val="28"/>
          <w:szCs w:val="28"/>
        </w:rPr>
        <w:t>局委托开展普通化妆品已备案产品信息的监督抽查工作；3.承担本市化妆品生产许可的现场检查工作；组织开展化妆品生产质量管理规范符合性检查；4.</w:t>
      </w:r>
      <w:proofErr w:type="gramStart"/>
      <w:r>
        <w:rPr>
          <w:rFonts w:ascii="仿宋_GB2312" w:eastAsia="仿宋_GB2312" w:hint="eastAsia"/>
          <w:sz w:val="28"/>
          <w:szCs w:val="28"/>
        </w:rPr>
        <w:t>受市药监</w:t>
      </w:r>
      <w:proofErr w:type="gramEnd"/>
      <w:r>
        <w:rPr>
          <w:rFonts w:ascii="仿宋_GB2312" w:eastAsia="仿宋_GB2312" w:hint="eastAsia"/>
          <w:sz w:val="28"/>
          <w:szCs w:val="28"/>
        </w:rPr>
        <w:t>局委托组织开展化妆品飞行检查、专项检查等各类有因检查工作；协助分局开展化妆品日常检查；5.配合开展化妆品检查员的教育培训、调配使用、考核评价等工作；6.</w:t>
      </w:r>
      <w:proofErr w:type="gramStart"/>
      <w:r>
        <w:rPr>
          <w:rFonts w:ascii="仿宋_GB2312" w:eastAsia="仿宋_GB2312" w:hint="eastAsia"/>
          <w:sz w:val="28"/>
          <w:szCs w:val="28"/>
        </w:rPr>
        <w:t>承办市药监</w:t>
      </w:r>
      <w:proofErr w:type="gramEnd"/>
      <w:r>
        <w:rPr>
          <w:rFonts w:ascii="仿宋_GB2312" w:eastAsia="仿宋_GB2312" w:hint="eastAsia"/>
          <w:sz w:val="28"/>
          <w:szCs w:val="28"/>
        </w:rPr>
        <w:t>局交办的其他事项。</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（二）机构设置情况</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1.内设科室的数量和名称</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 xml:space="preserve">北京市化妆品审评检查中心设置8个内设机构：（1）办公室（2）综合业务科（创新服务科）（3）进口化妆品备案科（4）进口化妆品审评科（5）国产化妆品备案科（6）国产化妆品审评科（7）企业检查科（8）检查科; </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2．本单位无下属单位</w:t>
      </w:r>
    </w:p>
    <w:p w:rsidR="00CE670E" w:rsidRDefault="000C0982">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1725.92</w:t>
      </w:r>
      <w:r>
        <w:rPr>
          <w:rFonts w:ascii="仿宋_GB2312" w:eastAsia="仿宋_GB2312" w:hint="eastAsia"/>
          <w:sz w:val="28"/>
          <w:szCs w:val="28"/>
        </w:rPr>
        <w:t>万元，比上年减少9.97万元，下降0.58%。</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2024年度本年收入合计1721.48万元，比上年增加23.19万元，增长1.37%。</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1.财政拨款收入1721.48万元，占收入合计的100%。其中：一般公共预算财政拨款收入1721.48万元，占收入合计的100%；政府性基金预算财政拨款收入0万元；国有资本经营预算财政拨款收入0万元；</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2.上级补助收入0万元；</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3.事业收入0万元；</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4.经营收入0万元；</w:t>
      </w:r>
    </w:p>
    <w:p w:rsidR="00CE670E" w:rsidRDefault="000C0982">
      <w:pPr>
        <w:spacing w:line="560" w:lineRule="exact"/>
        <w:ind w:firstLine="640"/>
        <w:rPr>
          <w:rFonts w:ascii="仿宋_GB2312" w:eastAsia="仿宋_GB2312"/>
          <w:sz w:val="28"/>
          <w:szCs w:val="28"/>
        </w:rPr>
      </w:pPr>
      <w:r>
        <w:rPr>
          <w:rFonts w:ascii="仿宋_GB2312" w:eastAsia="仿宋_GB2312" w:hint="eastAsia"/>
          <w:sz w:val="28"/>
          <w:szCs w:val="28"/>
        </w:rPr>
        <w:t>5.附属单位上缴收入0万元；</w:t>
      </w:r>
    </w:p>
    <w:p w:rsidR="00CE670E" w:rsidRDefault="000C0982">
      <w:pPr>
        <w:spacing w:line="560" w:lineRule="exact"/>
        <w:ind w:firstLine="640"/>
        <w:rPr>
          <w:rFonts w:ascii="仿宋_GB2312" w:eastAsia="仿宋_GB2312" w:cs="Droid Sans"/>
          <w:color w:val="000000"/>
          <w:sz w:val="32"/>
          <w:szCs w:val="32"/>
        </w:rPr>
      </w:pPr>
      <w:r>
        <w:rPr>
          <w:rFonts w:ascii="仿宋_GB2312" w:eastAsia="仿宋_GB2312" w:hint="eastAsia"/>
          <w:sz w:val="28"/>
          <w:szCs w:val="28"/>
        </w:rPr>
        <w:t>6.其他收入0万元。</w:t>
      </w:r>
    </w:p>
    <w:p w:rsidR="00CE670E" w:rsidRDefault="000C0982">
      <w:pPr>
        <w:pStyle w:val="2"/>
        <w:jc w:val="center"/>
      </w:pPr>
      <w:r>
        <w:rPr>
          <w:rFonts w:ascii="仿宋_GB2312" w:eastAsia="仿宋_GB2312" w:hint="eastAsia"/>
          <w:color w:val="000000"/>
          <w:sz w:val="32"/>
        </w:rPr>
        <w:lastRenderedPageBreak/>
        <w:t>图1：收入决算</w:t>
      </w:r>
    </w:p>
    <w:p w:rsidR="00CE670E" w:rsidRDefault="000C0982">
      <w:pPr>
        <w:pStyle w:val="a3"/>
        <w:ind w:firstLine="420"/>
        <w:jc w:val="center"/>
      </w:pPr>
      <w:r>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2024年度本年支出合计</w:t>
      </w:r>
      <w:r>
        <w:rPr>
          <w:rFonts w:ascii="仿宋_GB2312" w:eastAsia="仿宋_GB2312"/>
          <w:sz w:val="28"/>
          <w:szCs w:val="28"/>
        </w:rPr>
        <w:t>1698.81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减少20.79万元，下降1.24%，其中：基本支出</w:t>
      </w:r>
      <w:r>
        <w:rPr>
          <w:rFonts w:ascii="仿宋_GB2312" w:eastAsia="仿宋_GB2312"/>
          <w:sz w:val="28"/>
          <w:szCs w:val="28"/>
        </w:rPr>
        <w:t>1632.66</w:t>
      </w:r>
      <w:r>
        <w:rPr>
          <w:rFonts w:ascii="仿宋_GB2312" w:eastAsia="仿宋_GB2312" w:hint="eastAsia"/>
          <w:sz w:val="28"/>
          <w:szCs w:val="28"/>
        </w:rPr>
        <w:t>万元，占支出合计的96.11%；项目支出</w:t>
      </w:r>
      <w:r>
        <w:rPr>
          <w:rFonts w:ascii="仿宋_GB2312" w:eastAsia="仿宋_GB2312"/>
          <w:sz w:val="28"/>
          <w:szCs w:val="28"/>
        </w:rPr>
        <w:t>66.15</w:t>
      </w:r>
      <w:r>
        <w:rPr>
          <w:rFonts w:ascii="仿宋_GB2312" w:eastAsia="仿宋_GB2312" w:hint="eastAsia"/>
          <w:sz w:val="28"/>
          <w:szCs w:val="28"/>
        </w:rPr>
        <w:t>万元，占支出合计的3.89%;上缴上级支出</w:t>
      </w:r>
      <w:r>
        <w:rPr>
          <w:rFonts w:ascii="仿宋_GB2312" w:eastAsia="仿宋_GB2312"/>
          <w:sz w:val="28"/>
          <w:szCs w:val="28"/>
        </w:rPr>
        <w:t>0</w:t>
      </w:r>
      <w:r>
        <w:rPr>
          <w:rFonts w:ascii="仿宋_GB2312" w:eastAsia="仿宋_GB2312" w:hint="eastAsia"/>
          <w:sz w:val="28"/>
          <w:szCs w:val="28"/>
        </w:rPr>
        <w:t>万元；经营支出</w:t>
      </w:r>
      <w:r>
        <w:rPr>
          <w:rFonts w:ascii="仿宋_GB2312" w:eastAsia="仿宋_GB2312"/>
          <w:sz w:val="28"/>
          <w:szCs w:val="28"/>
        </w:rPr>
        <w:t>0</w:t>
      </w:r>
      <w:r>
        <w:rPr>
          <w:rFonts w:ascii="仿宋_GB2312" w:eastAsia="仿宋_GB2312" w:hint="eastAsia"/>
          <w:sz w:val="28"/>
          <w:szCs w:val="28"/>
        </w:rPr>
        <w:t>万元；对附属单位补助支出</w:t>
      </w:r>
      <w:r>
        <w:rPr>
          <w:rFonts w:ascii="仿宋_GB2312" w:eastAsia="仿宋_GB2312"/>
          <w:sz w:val="28"/>
          <w:szCs w:val="28"/>
        </w:rPr>
        <w:t>0</w:t>
      </w:r>
      <w:r>
        <w:rPr>
          <w:rFonts w:ascii="仿宋_GB2312" w:eastAsia="仿宋_GB2312" w:hint="eastAsia"/>
          <w:sz w:val="28"/>
          <w:szCs w:val="28"/>
        </w:rPr>
        <w:t>万元。</w:t>
      </w:r>
    </w:p>
    <w:p w:rsidR="00CE670E" w:rsidRDefault="000C0982">
      <w:pPr>
        <w:pStyle w:val="2"/>
        <w:ind w:firstLine="642"/>
        <w:jc w:val="center"/>
        <w:rPr>
          <w:rFonts w:ascii="仿宋_GB2312" w:eastAsia="仿宋_GB2312"/>
          <w:color w:val="000000"/>
          <w:sz w:val="32"/>
        </w:rPr>
      </w:pPr>
      <w:r>
        <w:rPr>
          <w:rFonts w:ascii="仿宋_GB2312" w:eastAsia="仿宋_GB2312" w:hint="eastAsia"/>
          <w:color w:val="000000"/>
          <w:sz w:val="32"/>
        </w:rPr>
        <w:lastRenderedPageBreak/>
        <w:t>图2：基本支出和项目支出情况</w:t>
      </w:r>
    </w:p>
    <w:p w:rsidR="00CE670E" w:rsidRDefault="000C0982">
      <w:pPr>
        <w:jc w:val="center"/>
        <w:rPr>
          <w:rFonts w:ascii="黑体" w:eastAsia="黑体"/>
          <w:b/>
          <w:sz w:val="28"/>
          <w:szCs w:val="28"/>
        </w:rPr>
      </w:pPr>
      <w:r>
        <w:rPr>
          <w:noProof/>
        </w:rPr>
        <w:drawing>
          <wp:inline distT="0" distB="0" distL="114300" distR="114300">
            <wp:extent cx="4572000" cy="2743200"/>
            <wp:effectExtent l="0" t="0" r="19050" b="19050"/>
            <wp:docPr id="2"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E670E" w:rsidRDefault="000C0982" w:rsidP="00CD2D9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CE670E" w:rsidRDefault="000C0982">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2024年度财政拨款收、支总计1725.92万元，比上年增加3.82万元，增长0.22%。主要原因：编制内新增人员。</w:t>
      </w:r>
    </w:p>
    <w:p w:rsidR="00CE670E" w:rsidRDefault="000C0982" w:rsidP="00CD2D9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CE670E" w:rsidRDefault="000C098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CE670E" w:rsidRDefault="000C0982">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2024年度一般公共预算财政拨款支出1698.81万元，主要用于以下方面：一般公共服务支出1393.97万元，占本年财政拨款支出82.06%；教育支出2.31万元，占本年财政拨款支出0.13%；社会保障和就业支出173.42万元，占本年财政拨款支出10.21%；卫生健康支出129.11万元，占本年财政拨款支出7.60%。</w:t>
      </w:r>
    </w:p>
    <w:p w:rsidR="00CE670E" w:rsidRPr="00905206" w:rsidRDefault="000C0982">
      <w:pPr>
        <w:autoSpaceDE w:val="0"/>
        <w:autoSpaceDN w:val="0"/>
        <w:adjustRightInd w:val="0"/>
        <w:spacing w:line="580" w:lineRule="exact"/>
        <w:ind w:firstLineChars="200" w:firstLine="560"/>
        <w:jc w:val="left"/>
        <w:rPr>
          <w:rFonts w:ascii="仿宋_GB2312" w:eastAsia="仿宋_GB2312"/>
          <w:sz w:val="28"/>
          <w:szCs w:val="28"/>
        </w:rPr>
      </w:pPr>
      <w:r w:rsidRPr="00905206">
        <w:rPr>
          <w:rFonts w:ascii="仿宋_GB2312" w:eastAsia="仿宋_GB2312" w:hint="eastAsia"/>
          <w:sz w:val="28"/>
          <w:szCs w:val="28"/>
        </w:rPr>
        <w:lastRenderedPageBreak/>
        <w:t>（二）一般公共预算财政拨款支出决算具体情况</w:t>
      </w:r>
    </w:p>
    <w:p w:rsidR="00905206" w:rsidRDefault="00905206" w:rsidP="0090520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1、“一般公共服务支出”2024年度年初预算1383.41万元，2024年度决算1393.97万元，完成年初预算的100.76%。</w:t>
      </w:r>
    </w:p>
    <w:p w:rsidR="00905206" w:rsidRDefault="00905206" w:rsidP="00905206">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905206" w:rsidRDefault="00905206" w:rsidP="004911DD">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“市场监督管理事务”2024年度年初预算1383.41万元，2024年度决算1393.97万元，完成年初预算的100.76%。</w:t>
      </w:r>
      <w:r w:rsidRPr="00905206">
        <w:rPr>
          <w:rFonts w:ascii="仿宋_GB2312" w:eastAsia="仿宋_GB2312" w:hint="eastAsia"/>
          <w:sz w:val="28"/>
          <w:szCs w:val="28"/>
        </w:rPr>
        <w:t>主要原因：编制内新增人员。</w:t>
      </w:r>
    </w:p>
    <w:p w:rsidR="00905206" w:rsidRDefault="00905206" w:rsidP="00905206">
      <w:pPr>
        <w:spacing w:line="580" w:lineRule="exact"/>
        <w:ind w:firstLineChars="200" w:firstLine="560"/>
        <w:rPr>
          <w:rFonts w:ascii="仿宋_GB2312" w:eastAsia="仿宋_GB2312"/>
          <w:sz w:val="28"/>
          <w:szCs w:val="28"/>
        </w:rPr>
      </w:pPr>
      <w:r>
        <w:rPr>
          <w:rFonts w:ascii="仿宋_GB2312" w:eastAsia="仿宋_GB2312" w:hint="eastAsia"/>
          <w:sz w:val="28"/>
          <w:szCs w:val="28"/>
        </w:rPr>
        <w:t>2、“教育支出”2024年度年初预算4</w:t>
      </w:r>
      <w:r w:rsidR="00551004">
        <w:rPr>
          <w:rFonts w:ascii="仿宋_GB2312" w:eastAsia="仿宋_GB2312" w:hint="eastAsia"/>
          <w:sz w:val="28"/>
          <w:szCs w:val="28"/>
        </w:rPr>
        <w:t>.00</w:t>
      </w:r>
      <w:r>
        <w:rPr>
          <w:rFonts w:ascii="仿宋_GB2312" w:eastAsia="仿宋_GB2312" w:hint="eastAsia"/>
          <w:sz w:val="28"/>
          <w:szCs w:val="28"/>
        </w:rPr>
        <w:t>万元，2024年度决算2.31万元，完成年初预算的57.75%。其中：</w:t>
      </w:r>
    </w:p>
    <w:p w:rsidR="00905206" w:rsidRDefault="00905206" w:rsidP="00905206">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“进修及培训”2024年度年初预算4</w:t>
      </w:r>
      <w:r w:rsidR="00551004">
        <w:rPr>
          <w:rFonts w:ascii="仿宋_GB2312" w:eastAsia="仿宋_GB2312" w:hint="eastAsia"/>
          <w:sz w:val="28"/>
          <w:szCs w:val="28"/>
        </w:rPr>
        <w:t>.00</w:t>
      </w:r>
      <w:r>
        <w:rPr>
          <w:rFonts w:ascii="仿宋_GB2312" w:eastAsia="仿宋_GB2312" w:hint="eastAsia"/>
          <w:sz w:val="28"/>
          <w:szCs w:val="28"/>
        </w:rPr>
        <w:t>万元，2024年度决算2.31万元，完成年初预算的57.75%</w:t>
      </w:r>
      <w:r w:rsidR="00551004">
        <w:rPr>
          <w:rFonts w:ascii="仿宋_GB2312" w:eastAsia="仿宋_GB2312" w:hint="eastAsia"/>
          <w:sz w:val="28"/>
          <w:szCs w:val="28"/>
        </w:rPr>
        <w:t>。</w:t>
      </w:r>
      <w:r>
        <w:rPr>
          <w:rFonts w:ascii="仿宋_GB2312" w:eastAsia="仿宋_GB2312" w:hint="eastAsia"/>
          <w:sz w:val="28"/>
          <w:szCs w:val="28"/>
        </w:rPr>
        <w:t>主要原因：落实政府过“紧日子”要求，压减一般性支出。</w:t>
      </w:r>
    </w:p>
    <w:p w:rsidR="00905206" w:rsidRDefault="00905206" w:rsidP="00905206">
      <w:pPr>
        <w:spacing w:line="580" w:lineRule="exact"/>
        <w:ind w:firstLineChars="200" w:firstLine="560"/>
        <w:rPr>
          <w:rFonts w:ascii="仿宋_GB2312" w:eastAsia="仿宋_GB2312"/>
          <w:sz w:val="28"/>
          <w:szCs w:val="28"/>
        </w:rPr>
      </w:pPr>
      <w:r>
        <w:rPr>
          <w:rFonts w:ascii="仿宋_GB2312" w:eastAsia="仿宋_GB2312" w:hint="eastAsia"/>
          <w:sz w:val="28"/>
          <w:szCs w:val="28"/>
        </w:rPr>
        <w:t>3、“社会保障和就业支出” 2024年度年初预算173.89万元，2024年度决算173.42万元，完成年初预算的99.73%。其中：</w:t>
      </w:r>
    </w:p>
    <w:p w:rsidR="00905206" w:rsidRDefault="00905206" w:rsidP="00905206">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 2024年度年初预算173.89万元，2024年度决算173.42万元，完成年初预算的99.73%。</w:t>
      </w:r>
      <w:r w:rsidRPr="00905206">
        <w:rPr>
          <w:rFonts w:ascii="仿宋_GB2312" w:eastAsia="仿宋_GB2312" w:hint="eastAsia"/>
          <w:sz w:val="28"/>
          <w:szCs w:val="28"/>
        </w:rPr>
        <w:t>主要原因：落实机关事业单位养老保险政策，按规定缴纳保险及职业年金。</w:t>
      </w:r>
    </w:p>
    <w:p w:rsidR="00905206" w:rsidRDefault="00905206" w:rsidP="00905206">
      <w:pPr>
        <w:numPr>
          <w:ilvl w:val="0"/>
          <w:numId w:val="2"/>
        </w:numPr>
        <w:spacing w:line="580" w:lineRule="exact"/>
        <w:ind w:firstLineChars="200" w:firstLine="560"/>
        <w:rPr>
          <w:rFonts w:ascii="仿宋_GB2312" w:eastAsia="仿宋_GB2312"/>
          <w:sz w:val="28"/>
          <w:szCs w:val="28"/>
        </w:rPr>
      </w:pPr>
      <w:r>
        <w:rPr>
          <w:rFonts w:ascii="仿宋_GB2312" w:eastAsia="仿宋_GB2312" w:hint="eastAsia"/>
          <w:sz w:val="28"/>
          <w:szCs w:val="28"/>
        </w:rPr>
        <w:t>“卫生健康支出”2024年度年初预算129.11万元，2024年度决算129.11万元，完成年初预算的100%。其中：</w:t>
      </w:r>
    </w:p>
    <w:p w:rsidR="00905206" w:rsidRDefault="00905206" w:rsidP="00905206">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“行政事业单位医疗”2024年度年初预算129.11万元，2024年度决算129.11万元，完成年初预算的100%。</w:t>
      </w:r>
    </w:p>
    <w:p w:rsidR="00CE670E" w:rsidRDefault="000C0982" w:rsidP="00CD2D9B">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CE670E" w:rsidRDefault="000C0982">
      <w:pPr>
        <w:spacing w:line="580" w:lineRule="exact"/>
        <w:ind w:firstLineChars="200" w:firstLine="560"/>
        <w:rPr>
          <w:rFonts w:ascii="仿宋_GB2312" w:eastAsia="仿宋_GB2312"/>
          <w:sz w:val="28"/>
          <w:szCs w:val="28"/>
        </w:rPr>
      </w:pPr>
      <w:r>
        <w:rPr>
          <w:rFonts w:ascii="仿宋_GB2312" w:eastAsia="仿宋_GB2312" w:hint="eastAsia"/>
          <w:sz w:val="28"/>
          <w:szCs w:val="28"/>
        </w:rPr>
        <w:t>本年度无此项支出。</w:t>
      </w:r>
    </w:p>
    <w:p w:rsidR="00CE670E" w:rsidRDefault="000C0982" w:rsidP="00CD2D9B">
      <w:pPr>
        <w:spacing w:line="580" w:lineRule="exact"/>
        <w:ind w:firstLineChars="200" w:firstLine="562"/>
        <w:rPr>
          <w:rFonts w:ascii="黑体" w:eastAsia="黑体"/>
          <w:b/>
          <w:sz w:val="28"/>
          <w:szCs w:val="28"/>
        </w:rPr>
      </w:pPr>
      <w:r>
        <w:rPr>
          <w:rFonts w:ascii="黑体" w:eastAsia="黑体" w:hint="eastAsia"/>
          <w:b/>
          <w:sz w:val="28"/>
          <w:szCs w:val="28"/>
        </w:rPr>
        <w:lastRenderedPageBreak/>
        <w:t>六、国有资本经营预算财</w:t>
      </w:r>
      <w:r>
        <w:rPr>
          <w:rFonts w:ascii="黑体" w:eastAsia="黑体"/>
          <w:b/>
          <w:sz w:val="28"/>
          <w:szCs w:val="28"/>
        </w:rPr>
        <w:t>政拨款</w:t>
      </w:r>
      <w:r>
        <w:rPr>
          <w:rFonts w:ascii="黑体" w:eastAsia="黑体" w:hint="eastAsia"/>
          <w:b/>
          <w:sz w:val="28"/>
          <w:szCs w:val="28"/>
        </w:rPr>
        <w:t>收支情况</w:t>
      </w:r>
    </w:p>
    <w:p w:rsidR="00CE670E" w:rsidRDefault="000C0982" w:rsidP="00CD2D9B">
      <w:pPr>
        <w:ind w:firstLineChars="192" w:firstLine="538"/>
        <w:rPr>
          <w:rFonts w:ascii="仿宋_GB2312" w:eastAsia="仿宋_GB2312"/>
          <w:sz w:val="28"/>
          <w:szCs w:val="28"/>
        </w:rPr>
      </w:pPr>
      <w:r>
        <w:rPr>
          <w:rFonts w:ascii="仿宋_GB2312" w:eastAsia="仿宋_GB2312" w:hint="eastAsia"/>
          <w:sz w:val="28"/>
          <w:szCs w:val="28"/>
        </w:rPr>
        <w:t>本年度无此项经费。</w:t>
      </w:r>
    </w:p>
    <w:p w:rsidR="00CE670E" w:rsidRDefault="000C0982" w:rsidP="00CD2D9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CE670E" w:rsidRDefault="000C0982" w:rsidP="00CD2D9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2024年度使用一般公共预算财政拨款安排基本支出</w:t>
      </w:r>
      <w:r>
        <w:rPr>
          <w:rFonts w:ascii="仿宋_GB2312" w:eastAsia="仿宋_GB2312"/>
          <w:sz w:val="28"/>
          <w:szCs w:val="28"/>
        </w:rPr>
        <w:t>1632.66</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CE670E" w:rsidRDefault="000C0982">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CE670E" w:rsidRDefault="000C0982">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2024年度</w:t>
      </w:r>
      <w:r>
        <w:rPr>
          <w:rFonts w:ascii="宋体" w:hAnsi="宋体" w:cs="宋体" w:hint="eastAsia"/>
          <w:b/>
          <w:spacing w:val="40"/>
          <w:kern w:val="0"/>
          <w:sz w:val="32"/>
          <w:szCs w:val="32"/>
        </w:rPr>
        <w:t>其他重要事项的情况说明</w:t>
      </w:r>
    </w:p>
    <w:p w:rsidR="00CE670E" w:rsidRDefault="000C0982">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CE670E" w:rsidRDefault="000C0982">
      <w:pPr>
        <w:spacing w:line="560" w:lineRule="exact"/>
        <w:ind w:firstLine="600"/>
        <w:rPr>
          <w:rFonts w:ascii="仿宋_GB2312" w:eastAsia="仿宋_GB2312"/>
          <w:sz w:val="28"/>
          <w:szCs w:val="28"/>
        </w:rPr>
      </w:pPr>
      <w:r>
        <w:rPr>
          <w:rFonts w:ascii="仿宋_GB2312" w:eastAsia="仿宋_GB2312" w:hint="eastAsia"/>
          <w:sz w:val="28"/>
          <w:szCs w:val="28"/>
        </w:rPr>
        <w:t>2024年度“三公”经费财政拨款决算数</w:t>
      </w:r>
      <w:r>
        <w:rPr>
          <w:rFonts w:ascii="仿宋_GB2312" w:eastAsia="仿宋_GB2312"/>
          <w:sz w:val="28"/>
          <w:szCs w:val="28"/>
        </w:rPr>
        <w:t>0.03</w:t>
      </w:r>
      <w:r>
        <w:rPr>
          <w:rFonts w:ascii="仿宋_GB2312" w:eastAsia="仿宋_GB2312" w:hint="eastAsia"/>
          <w:sz w:val="28"/>
          <w:szCs w:val="28"/>
        </w:rPr>
        <w:t>万元，比2024年度“三公”经费财政拨款年初预算</w:t>
      </w:r>
      <w:r>
        <w:rPr>
          <w:rFonts w:ascii="仿宋_GB2312" w:eastAsia="仿宋_GB2312"/>
          <w:sz w:val="28"/>
          <w:szCs w:val="28"/>
        </w:rPr>
        <w:t>1.05</w:t>
      </w:r>
      <w:r>
        <w:rPr>
          <w:rFonts w:ascii="仿宋_GB2312" w:eastAsia="仿宋_GB2312" w:hint="eastAsia"/>
          <w:sz w:val="28"/>
          <w:szCs w:val="28"/>
        </w:rPr>
        <w:t>万元减少</w:t>
      </w:r>
      <w:r>
        <w:rPr>
          <w:rFonts w:ascii="仿宋_GB2312" w:eastAsia="仿宋_GB2312"/>
          <w:sz w:val="28"/>
          <w:szCs w:val="28"/>
        </w:rPr>
        <w:t>1.02</w:t>
      </w:r>
      <w:r>
        <w:rPr>
          <w:rFonts w:ascii="仿宋_GB2312" w:eastAsia="仿宋_GB2312" w:hint="eastAsia"/>
          <w:sz w:val="28"/>
          <w:szCs w:val="28"/>
        </w:rPr>
        <w:t>万元。其中：</w:t>
      </w:r>
    </w:p>
    <w:p w:rsidR="00905206" w:rsidRDefault="00905206" w:rsidP="00905206">
      <w:pPr>
        <w:spacing w:line="560" w:lineRule="exact"/>
        <w:ind w:firstLine="600"/>
        <w:rPr>
          <w:rFonts w:ascii="仿宋_GB2312" w:eastAsia="仿宋_GB2312"/>
          <w:sz w:val="28"/>
          <w:szCs w:val="28"/>
        </w:rPr>
      </w:pPr>
      <w:r>
        <w:rPr>
          <w:rFonts w:ascii="仿宋_GB2312" w:eastAsia="仿宋_GB2312" w:hint="eastAsia"/>
          <w:sz w:val="28"/>
          <w:szCs w:val="28"/>
        </w:rPr>
        <w:t>1.因公出国（境）费用。2024年度决算数0万元，与2024年度年初预算数0万元持平。主要原因：严格落实过“紧</w:t>
      </w:r>
      <w:r>
        <w:rPr>
          <w:rFonts w:ascii="仿宋_GB2312" w:eastAsia="仿宋_GB2312" w:hint="eastAsia"/>
          <w:sz w:val="28"/>
          <w:szCs w:val="28"/>
        </w:rPr>
        <w:lastRenderedPageBreak/>
        <w:t>日子”要求，压减一般性支出。</w:t>
      </w:r>
    </w:p>
    <w:p w:rsidR="00905206" w:rsidRDefault="00905206" w:rsidP="00905206">
      <w:pPr>
        <w:spacing w:line="560" w:lineRule="exact"/>
        <w:ind w:firstLine="600"/>
        <w:rPr>
          <w:rFonts w:ascii="仿宋_GB2312" w:eastAsia="仿宋_GB2312"/>
          <w:sz w:val="28"/>
          <w:szCs w:val="28"/>
        </w:rPr>
      </w:pPr>
      <w:r>
        <w:rPr>
          <w:rFonts w:ascii="仿宋_GB2312" w:eastAsia="仿宋_GB2312" w:hint="eastAsia"/>
          <w:sz w:val="28"/>
          <w:szCs w:val="28"/>
        </w:rPr>
        <w:t>2.公务接待费。2024年度决算数0万元，与2024年度年初预算数0万元持平。主要原因：严格落实过“紧日子”要求，进一步压减公务接待支出。</w:t>
      </w:r>
    </w:p>
    <w:p w:rsidR="00CE670E" w:rsidRDefault="000C0982" w:rsidP="00905206">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3.公务用车购置及运行维护费。2024年度决算数</w:t>
      </w:r>
      <w:r>
        <w:rPr>
          <w:rFonts w:ascii="仿宋_GB2312" w:eastAsia="仿宋_GB2312"/>
          <w:sz w:val="28"/>
          <w:szCs w:val="28"/>
        </w:rPr>
        <w:t>0.03</w:t>
      </w:r>
      <w:r>
        <w:rPr>
          <w:rFonts w:ascii="仿宋_GB2312" w:eastAsia="仿宋_GB2312" w:hint="eastAsia"/>
          <w:sz w:val="28"/>
          <w:szCs w:val="28"/>
        </w:rPr>
        <w:t>万元，比2024年度年初预算数</w:t>
      </w:r>
      <w:r>
        <w:rPr>
          <w:rFonts w:ascii="仿宋_GB2312" w:eastAsia="仿宋_GB2312"/>
          <w:sz w:val="28"/>
          <w:szCs w:val="28"/>
        </w:rPr>
        <w:t>1.05</w:t>
      </w:r>
      <w:r>
        <w:rPr>
          <w:rFonts w:ascii="仿宋_GB2312" w:eastAsia="仿宋_GB2312" w:hint="eastAsia"/>
          <w:sz w:val="28"/>
          <w:szCs w:val="28"/>
        </w:rPr>
        <w:t>万元减少</w:t>
      </w:r>
      <w:r>
        <w:rPr>
          <w:rFonts w:ascii="仿宋_GB2312" w:eastAsia="仿宋_GB2312"/>
          <w:sz w:val="28"/>
          <w:szCs w:val="28"/>
        </w:rPr>
        <w:t>1.02</w:t>
      </w:r>
      <w:r>
        <w:rPr>
          <w:rFonts w:ascii="仿宋_GB2312" w:eastAsia="仿宋_GB2312" w:hint="eastAsia"/>
          <w:sz w:val="28"/>
          <w:szCs w:val="28"/>
        </w:rPr>
        <w:t>万元。其中，公务用车购置费2024年度决算数0万元，主要原因：本单位2024年度未购置（更新）车辆。公务用车运行维护费2024年度决算数0.03万元，主要原因：</w:t>
      </w:r>
      <w:r w:rsidRPr="00BC3D3E">
        <w:rPr>
          <w:rFonts w:ascii="仿宋_GB2312" w:eastAsia="仿宋_GB2312" w:hint="eastAsia"/>
          <w:sz w:val="28"/>
          <w:szCs w:val="28"/>
        </w:rPr>
        <w:t>加强公务用车管理，严格控制支出。</w:t>
      </w:r>
      <w:r>
        <w:rPr>
          <w:rFonts w:ascii="仿宋_GB2312" w:eastAsia="仿宋_GB2312" w:hint="eastAsia"/>
          <w:sz w:val="28"/>
          <w:szCs w:val="28"/>
        </w:rPr>
        <w:t>2024年度公务用车保有量</w:t>
      </w:r>
      <w:r>
        <w:rPr>
          <w:rFonts w:ascii="仿宋_GB2312" w:eastAsia="仿宋_GB2312"/>
          <w:sz w:val="28"/>
          <w:szCs w:val="28"/>
        </w:rPr>
        <w:t>1</w:t>
      </w:r>
      <w:r>
        <w:rPr>
          <w:rFonts w:ascii="仿宋_GB2312" w:eastAsia="仿宋_GB2312" w:hint="eastAsia"/>
          <w:sz w:val="28"/>
          <w:szCs w:val="28"/>
        </w:rPr>
        <w:t>辆。</w:t>
      </w:r>
    </w:p>
    <w:p w:rsidR="00CE670E" w:rsidRDefault="000C0982">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CE670E" w:rsidRDefault="000C0982" w:rsidP="00CD2D9B">
      <w:pPr>
        <w:ind w:firstLineChars="192" w:firstLine="538"/>
        <w:rPr>
          <w:rFonts w:ascii="仿宋_GB2312" w:eastAsia="仿宋_GB2312"/>
          <w:sz w:val="28"/>
          <w:szCs w:val="28"/>
        </w:rPr>
      </w:pPr>
      <w:r>
        <w:rPr>
          <w:rFonts w:ascii="仿宋_GB2312" w:eastAsia="仿宋_GB2312" w:hint="eastAsia"/>
          <w:sz w:val="28"/>
          <w:szCs w:val="28"/>
        </w:rPr>
        <w:t>2024年度机关运行经费支出合计93.46万元，比上年增加9.39万元，增加原因：编制内新增人员等。</w:t>
      </w:r>
    </w:p>
    <w:p w:rsidR="00CE670E" w:rsidRDefault="000C0982">
      <w:pPr>
        <w:ind w:left="540"/>
        <w:rPr>
          <w:rFonts w:ascii="黑体" w:eastAsia="黑体"/>
          <w:sz w:val="28"/>
          <w:szCs w:val="28"/>
        </w:rPr>
      </w:pPr>
      <w:r>
        <w:rPr>
          <w:rFonts w:ascii="黑体" w:eastAsia="黑体" w:hint="eastAsia"/>
          <w:sz w:val="28"/>
          <w:szCs w:val="28"/>
        </w:rPr>
        <w:t>三、政府采购支出情况</w:t>
      </w:r>
    </w:p>
    <w:p w:rsidR="00CE670E" w:rsidRDefault="000C0982" w:rsidP="00CD2D9B">
      <w:pPr>
        <w:ind w:firstLineChars="192" w:firstLine="538"/>
        <w:rPr>
          <w:rFonts w:ascii="仿宋_GB2312" w:eastAsia="仿宋_GB2312"/>
          <w:sz w:val="28"/>
          <w:szCs w:val="28"/>
        </w:rPr>
      </w:pPr>
      <w:r>
        <w:rPr>
          <w:rFonts w:ascii="仿宋_GB2312" w:eastAsia="仿宋_GB2312" w:hint="eastAsia"/>
          <w:sz w:val="28"/>
          <w:szCs w:val="28"/>
        </w:rPr>
        <w:t>2024年度政府采购支出总额</w:t>
      </w:r>
      <w:r>
        <w:rPr>
          <w:rFonts w:ascii="仿宋_GB2312" w:eastAsia="仿宋_GB2312"/>
          <w:sz w:val="28"/>
          <w:szCs w:val="28"/>
        </w:rPr>
        <w:t>2.42</w:t>
      </w:r>
      <w:r>
        <w:rPr>
          <w:rFonts w:ascii="仿宋_GB2312" w:eastAsia="仿宋_GB2312" w:hint="eastAsia"/>
          <w:sz w:val="28"/>
          <w:szCs w:val="28"/>
        </w:rPr>
        <w:t>万元，其中：政府采购货物支出</w:t>
      </w:r>
      <w:r>
        <w:rPr>
          <w:rFonts w:ascii="仿宋_GB2312" w:eastAsia="仿宋_GB2312"/>
          <w:sz w:val="28"/>
          <w:szCs w:val="28"/>
        </w:rPr>
        <w:t>0.21</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2.22</w:t>
      </w:r>
      <w:r>
        <w:rPr>
          <w:rFonts w:ascii="仿宋_GB2312" w:eastAsia="仿宋_GB2312" w:hint="eastAsia"/>
          <w:sz w:val="28"/>
          <w:szCs w:val="28"/>
        </w:rPr>
        <w:t>万元。授予中小企业合同金额</w:t>
      </w:r>
      <w:r>
        <w:rPr>
          <w:rFonts w:ascii="仿宋_GB2312" w:eastAsia="仿宋_GB2312"/>
          <w:sz w:val="28"/>
          <w:szCs w:val="28"/>
        </w:rPr>
        <w:t>2.42</w:t>
      </w:r>
      <w:r>
        <w:rPr>
          <w:rFonts w:ascii="仿宋_GB2312" w:eastAsia="仿宋_GB2312" w:hint="eastAsia"/>
          <w:sz w:val="28"/>
          <w:szCs w:val="28"/>
        </w:rPr>
        <w:t>万元，占政府采购支出总额的100%，其中：授予小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1.77</w:t>
      </w:r>
      <w:r>
        <w:rPr>
          <w:rFonts w:ascii="仿宋_GB2312" w:eastAsia="仿宋_GB2312" w:hint="eastAsia"/>
          <w:sz w:val="28"/>
          <w:szCs w:val="28"/>
        </w:rPr>
        <w:t>万元，占政府采购支出总额的</w:t>
      </w:r>
      <w:r>
        <w:rPr>
          <w:rFonts w:ascii="仿宋_GB2312" w:eastAsia="仿宋_GB2312"/>
          <w:sz w:val="28"/>
          <w:szCs w:val="28"/>
        </w:rPr>
        <w:t>73.12</w:t>
      </w:r>
      <w:r>
        <w:rPr>
          <w:rFonts w:ascii="仿宋_GB2312" w:eastAsia="仿宋_GB2312" w:hint="eastAsia"/>
          <w:sz w:val="28"/>
          <w:szCs w:val="28"/>
        </w:rPr>
        <w:t>%。</w:t>
      </w:r>
    </w:p>
    <w:p w:rsidR="00CE670E" w:rsidRDefault="000C0982">
      <w:pPr>
        <w:ind w:firstLineChars="200" w:firstLine="560"/>
        <w:rPr>
          <w:rFonts w:ascii="黑体" w:eastAsia="黑体"/>
          <w:sz w:val="28"/>
          <w:szCs w:val="28"/>
          <w:highlight w:val="yellow"/>
        </w:rPr>
      </w:pPr>
      <w:r>
        <w:rPr>
          <w:rFonts w:ascii="黑体" w:eastAsia="黑体" w:hint="eastAsia"/>
          <w:sz w:val="28"/>
          <w:szCs w:val="28"/>
        </w:rPr>
        <w:t>四、国有资产占用情况</w:t>
      </w:r>
    </w:p>
    <w:p w:rsidR="00CE670E" w:rsidRDefault="000C0982">
      <w:pPr>
        <w:ind w:firstLineChars="200" w:firstLine="560"/>
        <w:rPr>
          <w:rFonts w:ascii="仿宋_GB2312" w:eastAsia="仿宋_GB2312"/>
          <w:sz w:val="32"/>
          <w:szCs w:val="32"/>
        </w:rPr>
      </w:pPr>
      <w:r>
        <w:rPr>
          <w:rFonts w:ascii="仿宋_GB2312" w:eastAsia="仿宋_GB2312" w:hint="eastAsia"/>
          <w:sz w:val="28"/>
          <w:szCs w:val="28"/>
        </w:rPr>
        <w:t>截至12月31日，北京市化妆品审评检查中心共有车辆1台；单位价值100万元（含）以上的设备0台（套）。</w:t>
      </w:r>
    </w:p>
    <w:p w:rsidR="00CE670E" w:rsidRDefault="000C0982" w:rsidP="00CD2D9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CE670E" w:rsidRDefault="000C0982" w:rsidP="00CD2D9B">
      <w:pPr>
        <w:ind w:firstLineChars="192" w:firstLine="538"/>
        <w:rPr>
          <w:rFonts w:ascii="仿宋_GB2312" w:eastAsia="仿宋_GB2312"/>
          <w:sz w:val="28"/>
          <w:szCs w:val="28"/>
        </w:rPr>
      </w:pPr>
      <w:r>
        <w:rPr>
          <w:rFonts w:ascii="仿宋_GB2312" w:eastAsia="仿宋_GB2312" w:hint="eastAsia"/>
          <w:sz w:val="28"/>
          <w:szCs w:val="28"/>
        </w:rPr>
        <w:t>本单位不属于</w:t>
      </w:r>
      <w:r>
        <w:rPr>
          <w:rFonts w:ascii="仿宋_GB2312" w:eastAsia="仿宋_GB2312"/>
          <w:sz w:val="28"/>
          <w:szCs w:val="28"/>
        </w:rPr>
        <w:t>政府购买服务</w:t>
      </w:r>
      <w:r>
        <w:rPr>
          <w:rFonts w:ascii="仿宋_GB2312" w:eastAsia="仿宋_GB2312" w:hint="eastAsia"/>
          <w:sz w:val="28"/>
          <w:szCs w:val="28"/>
        </w:rPr>
        <w:t>购买主体。</w:t>
      </w:r>
    </w:p>
    <w:p w:rsidR="00CE670E" w:rsidRDefault="000C0982">
      <w:pPr>
        <w:ind w:firstLineChars="200" w:firstLine="560"/>
        <w:jc w:val="left"/>
        <w:rPr>
          <w:rFonts w:ascii="仿宋_GB2312" w:eastAsia="仿宋_GB2312"/>
          <w:color w:val="000000"/>
          <w:sz w:val="32"/>
          <w:szCs w:val="32"/>
        </w:rPr>
      </w:pPr>
      <w:r>
        <w:rPr>
          <w:rFonts w:ascii="黑体" w:eastAsia="黑体" w:hint="eastAsia"/>
          <w:sz w:val="28"/>
          <w:szCs w:val="28"/>
        </w:rPr>
        <w:lastRenderedPageBreak/>
        <w:t>六、</w:t>
      </w:r>
      <w:r>
        <w:rPr>
          <w:rFonts w:ascii="黑体" w:eastAsia="黑体"/>
          <w:sz w:val="28"/>
          <w:szCs w:val="28"/>
        </w:rPr>
        <w:t>专业名词解释</w:t>
      </w:r>
    </w:p>
    <w:p w:rsidR="00CE670E" w:rsidRDefault="000C0982">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CE670E" w:rsidRDefault="000C0982">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CE670E" w:rsidRDefault="000C0982">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CE670E" w:rsidRDefault="000C0982">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CE670E" w:rsidRDefault="000C0982">
      <w:pPr>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CE670E" w:rsidRDefault="000C0982">
      <w:pPr>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CE670E" w:rsidRDefault="000C0982">
      <w:pPr>
        <w:ind w:firstLineChars="200" w:firstLine="560"/>
        <w:rPr>
          <w:rFonts w:ascii="仿宋_GB2312" w:eastAsia="仿宋_GB2312"/>
          <w:sz w:val="28"/>
          <w:szCs w:val="28"/>
        </w:rPr>
      </w:pPr>
      <w:r>
        <w:rPr>
          <w:rFonts w:ascii="仿宋_GB2312" w:eastAsia="仿宋_GB2312"/>
          <w:sz w:val="28"/>
          <w:szCs w:val="28"/>
        </w:rPr>
        <w:t>7.一般公共服务支出（类）市场监督管理事务（款）行政运行（项）：反映行政单位（包括实行公务员管理的事业</w:t>
      </w:r>
      <w:r>
        <w:rPr>
          <w:rFonts w:ascii="仿宋_GB2312" w:eastAsia="仿宋_GB2312"/>
          <w:sz w:val="28"/>
          <w:szCs w:val="28"/>
        </w:rPr>
        <w:lastRenderedPageBreak/>
        <w:t>单位）的基本支出。</w:t>
      </w:r>
    </w:p>
    <w:p w:rsidR="00CE670E" w:rsidRDefault="000C0982">
      <w:pPr>
        <w:ind w:firstLineChars="200" w:firstLine="560"/>
        <w:rPr>
          <w:rFonts w:ascii="仿宋_GB2312" w:eastAsia="仿宋_GB2312"/>
          <w:sz w:val="28"/>
          <w:szCs w:val="28"/>
        </w:rPr>
      </w:pPr>
      <w:r>
        <w:rPr>
          <w:rFonts w:ascii="仿宋_GB2312" w:eastAsia="仿宋_GB2312"/>
          <w:sz w:val="28"/>
          <w:szCs w:val="28"/>
        </w:rPr>
        <w:t>8.一般公共服务支出（类）市场监督管理事务（款）</w:t>
      </w:r>
      <w:r>
        <w:rPr>
          <w:rFonts w:ascii="仿宋_GB2312" w:eastAsia="仿宋_GB2312" w:hint="eastAsia"/>
          <w:sz w:val="28"/>
          <w:szCs w:val="28"/>
        </w:rPr>
        <w:t>化妆品</w:t>
      </w:r>
      <w:r>
        <w:rPr>
          <w:rFonts w:ascii="仿宋_GB2312" w:eastAsia="仿宋_GB2312"/>
          <w:sz w:val="28"/>
          <w:szCs w:val="28"/>
        </w:rPr>
        <w:t>事务（项）：反映用于</w:t>
      </w:r>
      <w:r>
        <w:rPr>
          <w:rFonts w:ascii="仿宋_GB2312" w:eastAsia="仿宋_GB2312" w:hint="eastAsia"/>
          <w:sz w:val="28"/>
          <w:szCs w:val="28"/>
        </w:rPr>
        <w:t>化妆品</w:t>
      </w:r>
      <w:r>
        <w:rPr>
          <w:rFonts w:ascii="仿宋_GB2312" w:eastAsia="仿宋_GB2312"/>
          <w:sz w:val="28"/>
          <w:szCs w:val="28"/>
        </w:rPr>
        <w:t xml:space="preserve">监督管理方面的支出。 </w:t>
      </w:r>
    </w:p>
    <w:p w:rsidR="00CE670E" w:rsidRDefault="000C0982">
      <w:pPr>
        <w:ind w:firstLineChars="200" w:firstLine="560"/>
        <w:rPr>
          <w:rFonts w:ascii="仿宋_GB2312" w:eastAsia="仿宋_GB2312"/>
          <w:sz w:val="28"/>
          <w:szCs w:val="28"/>
        </w:rPr>
      </w:pPr>
      <w:r>
        <w:rPr>
          <w:rFonts w:ascii="仿宋_GB2312" w:eastAsia="仿宋_GB2312" w:hint="eastAsia"/>
          <w:sz w:val="28"/>
          <w:szCs w:val="28"/>
        </w:rPr>
        <w:t>9</w:t>
      </w:r>
      <w:r>
        <w:rPr>
          <w:rFonts w:ascii="仿宋_GB2312" w:eastAsia="仿宋_GB2312"/>
          <w:sz w:val="28"/>
          <w:szCs w:val="28"/>
        </w:rPr>
        <w:t>.教育支出（类）进修及培训（款）培训支出（项）：反映各部门安排的用于培训的支出。教育部门的师资培训，党校、行政学院等专业干部教育机构的支出，以及退役士兵、转业士官的培训支出，不在本科目反映。</w:t>
      </w:r>
    </w:p>
    <w:p w:rsidR="00CE670E" w:rsidRDefault="000C0982">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0</w:t>
      </w:r>
      <w:r>
        <w:rPr>
          <w:rFonts w:ascii="仿宋_GB2312" w:eastAsia="仿宋_GB2312"/>
          <w:sz w:val="28"/>
          <w:szCs w:val="28"/>
        </w:rPr>
        <w:t xml:space="preserve">.社会保障和就业支出（类）行政事业单位养老支出（款）行政单位离退休（项）：反映行政单位（包括实行公务员管理的事业单位）开支的离退休经费。 </w:t>
      </w:r>
    </w:p>
    <w:p w:rsidR="00CE670E" w:rsidRDefault="000C0982">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1</w:t>
      </w:r>
      <w:r>
        <w:rPr>
          <w:rFonts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rsidR="00CE670E" w:rsidRDefault="000C0982">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2</w:t>
      </w:r>
      <w:r>
        <w:rPr>
          <w:rFonts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roofErr w:type="gramStart"/>
      <w:r>
        <w:rPr>
          <w:rFonts w:ascii="仿宋_GB2312" w:eastAsia="仿宋_GB2312"/>
          <w:sz w:val="28"/>
          <w:szCs w:val="28"/>
        </w:rPr>
        <w:t>含职业</w:t>
      </w:r>
      <w:proofErr w:type="gramEnd"/>
      <w:r>
        <w:rPr>
          <w:rFonts w:ascii="仿宋_GB2312" w:eastAsia="仿宋_GB2312"/>
          <w:sz w:val="28"/>
          <w:szCs w:val="28"/>
        </w:rPr>
        <w:t xml:space="preserve">年金补记支出）。 </w:t>
      </w:r>
    </w:p>
    <w:p w:rsidR="00CE670E" w:rsidRDefault="000C0982">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3</w:t>
      </w:r>
      <w:r>
        <w:rPr>
          <w:rFonts w:ascii="仿宋_GB2312" w:eastAsia="仿宋_GB2312"/>
          <w:sz w:val="28"/>
          <w:szCs w:val="28"/>
        </w:rPr>
        <w:t xml:space="preserve">.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 </w:t>
      </w:r>
    </w:p>
    <w:p w:rsidR="00CE670E" w:rsidRPr="00905206" w:rsidRDefault="000C0982" w:rsidP="00905206">
      <w:pPr>
        <w:ind w:firstLineChars="200" w:firstLine="56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4</w:t>
      </w:r>
      <w:r>
        <w:rPr>
          <w:rFonts w:ascii="仿宋_GB2312" w:eastAsia="仿宋_GB2312"/>
          <w:sz w:val="28"/>
          <w:szCs w:val="28"/>
        </w:rPr>
        <w:t>.卫生健康支出（类）行政事业单位医疗（款）公务员医疗补助（项）：反映财政部门安排的公务员医疗补助经费。</w:t>
      </w:r>
    </w:p>
    <w:p w:rsidR="00FC7713" w:rsidRDefault="00FC7713">
      <w:pPr>
        <w:ind w:firstLineChars="200" w:firstLine="640"/>
        <w:jc w:val="center"/>
        <w:rPr>
          <w:rFonts w:ascii="黑体" w:eastAsia="黑体" w:hint="eastAsia"/>
          <w:sz w:val="32"/>
          <w:szCs w:val="32"/>
        </w:rPr>
      </w:pPr>
    </w:p>
    <w:p w:rsidR="00CE670E" w:rsidRDefault="000C0982">
      <w:pPr>
        <w:ind w:firstLineChars="200" w:firstLine="640"/>
        <w:jc w:val="center"/>
        <w:rPr>
          <w:rFonts w:ascii="黑体" w:eastAsia="黑体"/>
          <w:sz w:val="32"/>
          <w:szCs w:val="32"/>
        </w:rPr>
      </w:pPr>
      <w:r>
        <w:rPr>
          <w:rFonts w:ascii="黑体" w:eastAsia="黑体" w:hint="eastAsia"/>
          <w:sz w:val="32"/>
          <w:szCs w:val="32"/>
        </w:rPr>
        <w:lastRenderedPageBreak/>
        <w:t>第四部分  2024年度单位绩效评价情况</w:t>
      </w:r>
    </w:p>
    <w:p w:rsidR="00CE670E" w:rsidRDefault="00CE670E">
      <w:pPr>
        <w:ind w:firstLineChars="200" w:firstLine="560"/>
        <w:rPr>
          <w:rFonts w:ascii="黑体" w:eastAsia="黑体"/>
          <w:sz w:val="28"/>
          <w:szCs w:val="28"/>
          <w:highlight w:val="yellow"/>
        </w:rPr>
      </w:pPr>
    </w:p>
    <w:p w:rsidR="00CE670E" w:rsidRDefault="000C0982">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tbl>
      <w:tblPr>
        <w:tblW w:w="14076" w:type="dxa"/>
        <w:tblInd w:w="93" w:type="dxa"/>
        <w:tblLook w:val="04A0" w:firstRow="1" w:lastRow="0" w:firstColumn="1" w:lastColumn="0" w:noHBand="0" w:noVBand="1"/>
      </w:tblPr>
      <w:tblGrid>
        <w:gridCol w:w="560"/>
        <w:gridCol w:w="186"/>
        <w:gridCol w:w="1054"/>
        <w:gridCol w:w="75"/>
        <w:gridCol w:w="1334"/>
        <w:gridCol w:w="131"/>
        <w:gridCol w:w="1830"/>
        <w:gridCol w:w="430"/>
        <w:gridCol w:w="1013"/>
        <w:gridCol w:w="287"/>
        <w:gridCol w:w="1292"/>
        <w:gridCol w:w="208"/>
        <w:gridCol w:w="1576"/>
        <w:gridCol w:w="124"/>
        <w:gridCol w:w="1160"/>
        <w:gridCol w:w="67"/>
        <w:gridCol w:w="1173"/>
        <w:gridCol w:w="229"/>
        <w:gridCol w:w="1131"/>
        <w:gridCol w:w="216"/>
      </w:tblGrid>
      <w:tr w:rsidR="00CE670E">
        <w:trPr>
          <w:trHeight w:val="405"/>
        </w:trPr>
        <w:tc>
          <w:tcPr>
            <w:tcW w:w="14076" w:type="dxa"/>
            <w:gridSpan w:val="20"/>
            <w:tcBorders>
              <w:top w:val="nil"/>
              <w:left w:val="nil"/>
              <w:bottom w:val="nil"/>
              <w:right w:val="nil"/>
            </w:tcBorders>
            <w:shd w:val="clear" w:color="auto" w:fill="auto"/>
            <w:vAlign w:val="center"/>
          </w:tcPr>
          <w:p w:rsidR="00CE670E" w:rsidRDefault="000C098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t>项目支出绩效自评表</w:t>
            </w:r>
            <w:r>
              <w:rPr>
                <w:rFonts w:ascii="宋体" w:hAnsi="宋体" w:cs="宋体" w:hint="eastAsia"/>
                <w:color w:val="000000"/>
                <w:kern w:val="0"/>
                <w:sz w:val="32"/>
                <w:szCs w:val="32"/>
              </w:rPr>
              <w:t xml:space="preserve"> </w:t>
            </w:r>
          </w:p>
        </w:tc>
      </w:tr>
      <w:tr w:rsidR="00CE670E">
        <w:trPr>
          <w:trHeight w:val="435"/>
        </w:trPr>
        <w:tc>
          <w:tcPr>
            <w:tcW w:w="14076" w:type="dxa"/>
            <w:gridSpan w:val="20"/>
            <w:tcBorders>
              <w:top w:val="nil"/>
              <w:left w:val="nil"/>
              <w:bottom w:val="nil"/>
              <w:right w:val="nil"/>
            </w:tcBorders>
            <w:shd w:val="clear" w:color="auto" w:fill="auto"/>
            <w:vAlign w:val="center"/>
          </w:tcPr>
          <w:p w:rsidR="00CE670E" w:rsidRDefault="000C0982">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r w:rsidR="00CE670E">
        <w:trPr>
          <w:trHeight w:val="402"/>
        </w:trPr>
        <w:tc>
          <w:tcPr>
            <w:tcW w:w="32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0867" w:type="dxa"/>
            <w:gridSpan w:val="15"/>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化妆品审查业务经费</w:t>
            </w:r>
          </w:p>
        </w:tc>
      </w:tr>
      <w:tr w:rsidR="00CE670E">
        <w:trPr>
          <w:trHeight w:val="402"/>
        </w:trPr>
        <w:tc>
          <w:tcPr>
            <w:tcW w:w="32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4983" w:type="dxa"/>
            <w:gridSpan w:val="6"/>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北京市药品监督管理局066</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4100" w:type="dxa"/>
            <w:gridSpan w:val="7"/>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北京市化妆品审评检查中心</w:t>
            </w:r>
          </w:p>
        </w:tc>
      </w:tr>
      <w:tr w:rsidR="00CE670E">
        <w:trPr>
          <w:trHeight w:val="402"/>
        </w:trPr>
        <w:tc>
          <w:tcPr>
            <w:tcW w:w="320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4983" w:type="dxa"/>
            <w:gridSpan w:val="6"/>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刘泽龙</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4100" w:type="dxa"/>
            <w:gridSpan w:val="7"/>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55527196</w:t>
            </w:r>
          </w:p>
        </w:tc>
      </w:tr>
      <w:tr w:rsidR="00CE670E">
        <w:trPr>
          <w:trHeight w:val="600"/>
        </w:trPr>
        <w:tc>
          <w:tcPr>
            <w:tcW w:w="320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443"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79"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CE670E">
        <w:trPr>
          <w:trHeight w:val="402"/>
        </w:trPr>
        <w:tc>
          <w:tcPr>
            <w:tcW w:w="3209" w:type="dxa"/>
            <w:gridSpan w:val="5"/>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443"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27.305</w:t>
            </w:r>
          </w:p>
        </w:tc>
        <w:tc>
          <w:tcPr>
            <w:tcW w:w="1579"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26.155</w:t>
            </w:r>
          </w:p>
        </w:tc>
        <w:tc>
          <w:tcPr>
            <w:tcW w:w="1784"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23.9836</w:t>
            </w:r>
          </w:p>
        </w:tc>
        <w:tc>
          <w:tcPr>
            <w:tcW w:w="1351" w:type="dxa"/>
            <w:gridSpan w:val="3"/>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402"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91.70%</w:t>
            </w:r>
          </w:p>
        </w:tc>
        <w:tc>
          <w:tcPr>
            <w:tcW w:w="1347"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9.17 </w:t>
            </w:r>
          </w:p>
        </w:tc>
      </w:tr>
      <w:tr w:rsidR="00CE670E">
        <w:trPr>
          <w:trHeight w:val="402"/>
        </w:trPr>
        <w:tc>
          <w:tcPr>
            <w:tcW w:w="3209" w:type="dxa"/>
            <w:gridSpan w:val="5"/>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443"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27.305</w:t>
            </w:r>
          </w:p>
        </w:tc>
        <w:tc>
          <w:tcPr>
            <w:tcW w:w="1579"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26.155</w:t>
            </w:r>
          </w:p>
        </w:tc>
        <w:tc>
          <w:tcPr>
            <w:tcW w:w="1784"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23.9836</w:t>
            </w:r>
          </w:p>
        </w:tc>
        <w:tc>
          <w:tcPr>
            <w:tcW w:w="1351" w:type="dxa"/>
            <w:gridSpan w:val="3"/>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402"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91.70%</w:t>
            </w:r>
          </w:p>
        </w:tc>
        <w:tc>
          <w:tcPr>
            <w:tcW w:w="1347"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9.17 </w:t>
            </w:r>
          </w:p>
        </w:tc>
      </w:tr>
      <w:tr w:rsidR="00CE670E">
        <w:trPr>
          <w:trHeight w:val="402"/>
        </w:trPr>
        <w:tc>
          <w:tcPr>
            <w:tcW w:w="3209" w:type="dxa"/>
            <w:gridSpan w:val="5"/>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上年结转资金</w:t>
            </w:r>
          </w:p>
        </w:tc>
        <w:tc>
          <w:tcPr>
            <w:tcW w:w="1443"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79"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84"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51" w:type="dxa"/>
            <w:gridSpan w:val="3"/>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402"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47"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402"/>
        </w:trPr>
        <w:tc>
          <w:tcPr>
            <w:tcW w:w="3209" w:type="dxa"/>
            <w:gridSpan w:val="5"/>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443"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79"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51" w:type="dxa"/>
            <w:gridSpan w:val="3"/>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435"/>
        </w:trPr>
        <w:tc>
          <w:tcPr>
            <w:tcW w:w="746" w:type="dxa"/>
            <w:gridSpan w:val="2"/>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446" w:type="dxa"/>
            <w:gridSpan w:val="9"/>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5884" w:type="dxa"/>
            <w:gridSpan w:val="9"/>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CE670E">
        <w:trPr>
          <w:trHeight w:val="1305"/>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7446" w:type="dxa"/>
            <w:gridSpan w:val="9"/>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通过完成本市普通化妆品备案审查及相关事务性工作，提升本市化妆品生产企业生产规范度，保障</w:t>
            </w:r>
            <w:proofErr w:type="gramStart"/>
            <w:r>
              <w:rPr>
                <w:rFonts w:ascii="宋体" w:hAnsi="宋体" w:cs="宋体" w:hint="eastAsia"/>
                <w:color w:val="000000"/>
                <w:kern w:val="0"/>
                <w:sz w:val="20"/>
                <w:szCs w:val="20"/>
              </w:rPr>
              <w:t>市民用妆安全</w:t>
            </w:r>
            <w:proofErr w:type="gramEnd"/>
            <w:r>
              <w:rPr>
                <w:rFonts w:ascii="宋体" w:hAnsi="宋体" w:cs="宋体" w:hint="eastAsia"/>
                <w:color w:val="000000"/>
                <w:kern w:val="0"/>
                <w:sz w:val="20"/>
                <w:szCs w:val="20"/>
              </w:rPr>
              <w:t>。</w:t>
            </w:r>
          </w:p>
        </w:tc>
        <w:tc>
          <w:tcPr>
            <w:tcW w:w="5884" w:type="dxa"/>
            <w:gridSpan w:val="9"/>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完成了</w:t>
            </w:r>
            <w:proofErr w:type="gramStart"/>
            <w:r>
              <w:rPr>
                <w:rFonts w:ascii="宋体" w:hAnsi="宋体" w:cs="宋体" w:hint="eastAsia"/>
                <w:color w:val="000000"/>
                <w:kern w:val="0"/>
                <w:sz w:val="20"/>
                <w:szCs w:val="20"/>
              </w:rPr>
              <w:t>24</w:t>
            </w:r>
            <w:proofErr w:type="gramEnd"/>
            <w:r>
              <w:rPr>
                <w:rFonts w:ascii="宋体" w:hAnsi="宋体" w:cs="宋体" w:hint="eastAsia"/>
                <w:color w:val="000000"/>
                <w:kern w:val="0"/>
                <w:sz w:val="20"/>
                <w:szCs w:val="20"/>
              </w:rPr>
              <w:t>年度本市普通化妆品备案审查及相关事务性工作，提升了本市化妆品生产企业生产规范度，保障了</w:t>
            </w:r>
            <w:proofErr w:type="gramStart"/>
            <w:r>
              <w:rPr>
                <w:rFonts w:ascii="宋体" w:hAnsi="宋体" w:cs="宋体" w:hint="eastAsia"/>
                <w:color w:val="000000"/>
                <w:kern w:val="0"/>
                <w:sz w:val="20"/>
                <w:szCs w:val="20"/>
              </w:rPr>
              <w:t>市民用妆安全</w:t>
            </w:r>
            <w:proofErr w:type="gramEnd"/>
            <w:r>
              <w:rPr>
                <w:rFonts w:ascii="宋体" w:hAnsi="宋体" w:cs="宋体" w:hint="eastAsia"/>
                <w:color w:val="000000"/>
                <w:kern w:val="0"/>
                <w:sz w:val="20"/>
                <w:szCs w:val="20"/>
              </w:rPr>
              <w:t>。</w:t>
            </w:r>
          </w:p>
        </w:tc>
      </w:tr>
      <w:tr w:rsidR="00CE670E">
        <w:trPr>
          <w:trHeight w:val="810"/>
        </w:trPr>
        <w:tc>
          <w:tcPr>
            <w:tcW w:w="746" w:type="dxa"/>
            <w:gridSpan w:val="2"/>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129"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334"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CE670E">
        <w:trPr>
          <w:trHeight w:val="600"/>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129" w:type="dxa"/>
            <w:gridSpan w:val="2"/>
            <w:vMerge w:val="restart"/>
            <w:tcBorders>
              <w:top w:val="nil"/>
              <w:left w:val="single" w:sz="4" w:space="0" w:color="auto"/>
              <w:bottom w:val="nil"/>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334"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化妆品企业现场核查人次</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≥100人次</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173人次</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129" w:type="dxa"/>
            <w:gridSpan w:val="2"/>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334"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现场核查及化妆品备案产品审核合</w:t>
            </w:r>
            <w:proofErr w:type="gramStart"/>
            <w:r>
              <w:rPr>
                <w:rFonts w:ascii="宋体" w:hAnsi="宋体" w:cs="宋体" w:hint="eastAsia"/>
                <w:kern w:val="0"/>
                <w:sz w:val="20"/>
                <w:szCs w:val="20"/>
              </w:rPr>
              <w:t>规</w:t>
            </w:r>
            <w:proofErr w:type="gramEnd"/>
            <w:r>
              <w:rPr>
                <w:rFonts w:ascii="宋体" w:hAnsi="宋体" w:cs="宋体" w:hint="eastAsia"/>
                <w:kern w:val="0"/>
                <w:sz w:val="20"/>
                <w:szCs w:val="20"/>
              </w:rPr>
              <w:t>率</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129" w:type="dxa"/>
            <w:gridSpan w:val="2"/>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334"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化妆品审查业务项目实施期</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1年</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1年</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129"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334"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现场核查交通费</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≤80元/人/次</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80元/人/次</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746" w:type="dxa"/>
            <w:gridSpan w:val="2"/>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129"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334" w:type="dxa"/>
            <w:tcBorders>
              <w:top w:val="nil"/>
              <w:left w:val="nil"/>
              <w:bottom w:val="nil"/>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1961"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化妆品产品备案合格率</w:t>
            </w:r>
          </w:p>
        </w:tc>
        <w:tc>
          <w:tcPr>
            <w:tcW w:w="3022"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得到提升</w:t>
            </w:r>
          </w:p>
        </w:tc>
        <w:tc>
          <w:tcPr>
            <w:tcW w:w="1784"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得到提升</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585"/>
        </w:trPr>
        <w:tc>
          <w:tcPr>
            <w:tcW w:w="9976" w:type="dxa"/>
            <w:gridSpan w:val="13"/>
            <w:tcBorders>
              <w:top w:val="single" w:sz="4" w:space="0" w:color="auto"/>
              <w:left w:val="single" w:sz="4" w:space="0" w:color="auto"/>
              <w:bottom w:val="single" w:sz="4" w:space="0" w:color="auto"/>
              <w:right w:val="single" w:sz="4" w:space="0" w:color="000000"/>
            </w:tcBorders>
            <w:shd w:val="clear" w:color="auto" w:fill="auto"/>
            <w:vAlign w:val="center"/>
          </w:tcPr>
          <w:p w:rsidR="00CE670E" w:rsidRDefault="000C098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351"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402"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99.17 </w:t>
            </w:r>
          </w:p>
        </w:tc>
        <w:tc>
          <w:tcPr>
            <w:tcW w:w="1347"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2640"/>
        </w:trPr>
        <w:tc>
          <w:tcPr>
            <w:tcW w:w="14076" w:type="dxa"/>
            <w:gridSpan w:val="20"/>
            <w:tcBorders>
              <w:top w:val="nil"/>
              <w:left w:val="nil"/>
              <w:bottom w:val="nil"/>
              <w:right w:val="nil"/>
            </w:tcBorders>
            <w:shd w:val="clear" w:color="auto" w:fill="auto"/>
            <w:vAlign w:val="center"/>
          </w:tcPr>
          <w:p w:rsidR="00CE670E" w:rsidRDefault="00CE670E"/>
          <w:p w:rsidR="00CE670E" w:rsidRDefault="00CE670E">
            <w:pPr>
              <w:pStyle w:val="2"/>
            </w:pPr>
          </w:p>
          <w:p w:rsidR="00CE670E" w:rsidRDefault="00CE670E"/>
          <w:p w:rsidR="00CE670E" w:rsidRDefault="00CE670E">
            <w:pPr>
              <w:pStyle w:val="2"/>
            </w:pPr>
          </w:p>
          <w:p w:rsidR="00CE670E" w:rsidRDefault="00CE670E"/>
          <w:p w:rsidR="00CE670E" w:rsidRDefault="00CE670E">
            <w:pPr>
              <w:pStyle w:val="2"/>
            </w:pPr>
          </w:p>
          <w:tbl>
            <w:tblPr>
              <w:tblW w:w="13860" w:type="dxa"/>
              <w:tblLook w:val="04A0" w:firstRow="1" w:lastRow="0" w:firstColumn="1" w:lastColumn="0" w:noHBand="0" w:noVBand="1"/>
            </w:tblPr>
            <w:tblGrid>
              <w:gridCol w:w="560"/>
              <w:gridCol w:w="1240"/>
              <w:gridCol w:w="1540"/>
              <w:gridCol w:w="2260"/>
              <w:gridCol w:w="1300"/>
              <w:gridCol w:w="1500"/>
              <w:gridCol w:w="1700"/>
              <w:gridCol w:w="1160"/>
              <w:gridCol w:w="1240"/>
              <w:gridCol w:w="1360"/>
            </w:tblGrid>
            <w:tr w:rsidR="00CE670E">
              <w:trPr>
                <w:trHeight w:val="405"/>
              </w:trPr>
              <w:tc>
                <w:tcPr>
                  <w:tcW w:w="13860" w:type="dxa"/>
                  <w:gridSpan w:val="10"/>
                  <w:tcBorders>
                    <w:top w:val="nil"/>
                    <w:left w:val="nil"/>
                    <w:bottom w:val="nil"/>
                    <w:right w:val="nil"/>
                  </w:tcBorders>
                  <w:shd w:val="clear" w:color="auto" w:fill="auto"/>
                  <w:vAlign w:val="center"/>
                </w:tcPr>
                <w:p w:rsidR="002A2902" w:rsidRDefault="002A2902">
                  <w:pPr>
                    <w:widowControl/>
                    <w:jc w:val="center"/>
                    <w:rPr>
                      <w:rFonts w:ascii="宋体" w:hAnsi="宋体" w:cs="宋体"/>
                      <w:b/>
                      <w:bCs/>
                      <w:color w:val="000000"/>
                      <w:kern w:val="0"/>
                      <w:sz w:val="32"/>
                      <w:szCs w:val="32"/>
                    </w:rPr>
                  </w:pPr>
                </w:p>
                <w:p w:rsidR="00CE670E" w:rsidRDefault="000C098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r>
                    <w:rPr>
                      <w:rFonts w:ascii="宋体" w:hAnsi="宋体" w:cs="宋体" w:hint="eastAsia"/>
                      <w:color w:val="000000"/>
                      <w:kern w:val="0"/>
                      <w:sz w:val="32"/>
                      <w:szCs w:val="32"/>
                    </w:rPr>
                    <w:t xml:space="preserve"> </w:t>
                  </w:r>
                </w:p>
              </w:tc>
            </w:tr>
            <w:tr w:rsidR="00CE670E">
              <w:trPr>
                <w:trHeight w:val="435"/>
              </w:trPr>
              <w:tc>
                <w:tcPr>
                  <w:tcW w:w="13860" w:type="dxa"/>
                  <w:gridSpan w:val="10"/>
                  <w:tcBorders>
                    <w:top w:val="nil"/>
                    <w:left w:val="nil"/>
                    <w:bottom w:val="nil"/>
                    <w:right w:val="nil"/>
                  </w:tcBorders>
                  <w:shd w:val="clear" w:color="auto" w:fill="auto"/>
                  <w:vAlign w:val="center"/>
                </w:tcPr>
                <w:p w:rsidR="00CE670E" w:rsidRDefault="000C0982">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（2024年度）</w:t>
                  </w:r>
                </w:p>
              </w:tc>
            </w:tr>
            <w:tr w:rsidR="00CE670E">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项目名称</w:t>
                  </w:r>
                </w:p>
              </w:tc>
              <w:tc>
                <w:tcPr>
                  <w:tcW w:w="10520" w:type="dxa"/>
                  <w:gridSpan w:val="7"/>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化妆品审查业务培训</w:t>
                  </w:r>
                </w:p>
              </w:tc>
            </w:tr>
            <w:tr w:rsidR="00CE670E">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北京市药品监督管理局066</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3760" w:type="dxa"/>
                  <w:gridSpan w:val="3"/>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北京市化妆品审评检查中心</w:t>
                  </w:r>
                </w:p>
              </w:tc>
            </w:tr>
            <w:tr w:rsidR="00CE670E">
              <w:trPr>
                <w:trHeight w:val="402"/>
              </w:trPr>
              <w:tc>
                <w:tcPr>
                  <w:tcW w:w="33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3"/>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刘晓</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3760" w:type="dxa"/>
                  <w:gridSpan w:val="3"/>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55527197</w:t>
                  </w:r>
                </w:p>
              </w:tc>
            </w:tr>
            <w:tr w:rsidR="00CE670E">
              <w:trPr>
                <w:trHeight w:val="600"/>
              </w:trPr>
              <w:tc>
                <w:tcPr>
                  <w:tcW w:w="334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CE670E">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7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1.853140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92.66%</w:t>
                  </w:r>
                </w:p>
              </w:tc>
              <w:tc>
                <w:tcPr>
                  <w:tcW w:w="13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9.27 </w:t>
                  </w:r>
                </w:p>
              </w:tc>
            </w:tr>
            <w:tr w:rsidR="00CE670E">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5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7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1.853140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上年结转资金</w:t>
                  </w:r>
                </w:p>
              </w:tc>
              <w:tc>
                <w:tcPr>
                  <w:tcW w:w="13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402"/>
              </w:trPr>
              <w:tc>
                <w:tcPr>
                  <w:tcW w:w="3340" w:type="dxa"/>
                  <w:gridSpan w:val="3"/>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3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5460"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CE670E">
              <w:trPr>
                <w:trHeight w:val="1335"/>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7840" w:type="dxa"/>
                  <w:gridSpan w:val="5"/>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用于培训北京市化妆品生产企业备案企业，提升化妆品企业安全生产意识，进一步提升化妆品产品质量。</w:t>
                  </w:r>
                </w:p>
              </w:tc>
              <w:tc>
                <w:tcPr>
                  <w:tcW w:w="5460"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已完成2024年度北京市化妆品企业培训，提升了化妆品企业安全生产意识，进一步提升化妆品产品质量。</w:t>
                  </w:r>
                </w:p>
              </w:tc>
            </w:tr>
            <w:tr w:rsidR="00CE670E">
              <w:trPr>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6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80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CE670E">
              <w:trPr>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vMerge w:val="restart"/>
                  <w:tcBorders>
                    <w:top w:val="nil"/>
                    <w:left w:val="single" w:sz="4" w:space="0" w:color="auto"/>
                    <w:bottom w:val="nil"/>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培训人数</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≥100人</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200人</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培训合格率</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≥90%</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培训会实施期</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1年</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1年</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培训支出人均标准</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≤550元/人/天</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92.66元/人/天</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被培训企业人员安全生产意识</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有所提升</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有所提升</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645"/>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满意度指标</w:t>
                  </w:r>
                </w:p>
              </w:tc>
              <w:tc>
                <w:tcPr>
                  <w:tcW w:w="154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服务对象满意度指标</w:t>
                  </w:r>
                </w:p>
              </w:tc>
              <w:tc>
                <w:tcPr>
                  <w:tcW w:w="2260" w:type="dxa"/>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参加培训人员满意度</w:t>
                  </w:r>
                </w:p>
              </w:tc>
              <w:tc>
                <w:tcPr>
                  <w:tcW w:w="2800" w:type="dxa"/>
                  <w:gridSpan w:val="2"/>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≥90%</w:t>
                  </w:r>
                </w:p>
              </w:tc>
              <w:tc>
                <w:tcPr>
                  <w:tcW w:w="170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trHeight w:val="402"/>
              </w:trPr>
              <w:tc>
                <w:tcPr>
                  <w:tcW w:w="10100"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rsidR="00CE670E" w:rsidRDefault="000C098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99.27 </w:t>
                  </w:r>
                </w:p>
              </w:tc>
              <w:tc>
                <w:tcPr>
                  <w:tcW w:w="1360" w:type="dxa"/>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CE670E" w:rsidRDefault="00CE670E">
            <w:pPr>
              <w:widowControl/>
              <w:jc w:val="left"/>
              <w:rPr>
                <w:rFonts w:ascii="宋体" w:hAnsi="宋体" w:cs="宋体"/>
                <w:color w:val="000000"/>
                <w:kern w:val="0"/>
                <w:sz w:val="20"/>
                <w:szCs w:val="20"/>
              </w:rPr>
            </w:pPr>
          </w:p>
          <w:p w:rsidR="00CE670E" w:rsidRDefault="00CE670E">
            <w:pPr>
              <w:pStyle w:val="2"/>
            </w:pPr>
          </w:p>
          <w:p w:rsidR="00CE670E" w:rsidRDefault="00CE670E"/>
          <w:p w:rsidR="00CE670E" w:rsidRDefault="00CE670E">
            <w:pPr>
              <w:pStyle w:val="2"/>
            </w:pPr>
          </w:p>
          <w:p w:rsidR="00CE670E" w:rsidRDefault="00CE670E"/>
          <w:p w:rsidR="00CE670E" w:rsidRDefault="00CE670E">
            <w:pPr>
              <w:pStyle w:val="2"/>
            </w:pPr>
          </w:p>
          <w:p w:rsidR="00CE670E" w:rsidRDefault="00CE670E"/>
          <w:p w:rsidR="00CE670E" w:rsidRDefault="00CE670E">
            <w:pPr>
              <w:pStyle w:val="2"/>
            </w:pPr>
          </w:p>
          <w:p w:rsidR="00CE670E" w:rsidRDefault="00CE670E"/>
          <w:p w:rsidR="00CE670E" w:rsidRDefault="00CE670E">
            <w:pPr>
              <w:pStyle w:val="2"/>
            </w:pPr>
          </w:p>
          <w:tbl>
            <w:tblPr>
              <w:tblW w:w="13860" w:type="dxa"/>
              <w:tblLook w:val="04A0" w:firstRow="1" w:lastRow="0" w:firstColumn="1" w:lastColumn="0" w:noHBand="0" w:noVBand="1"/>
            </w:tblPr>
            <w:tblGrid>
              <w:gridCol w:w="13860"/>
            </w:tblGrid>
            <w:tr w:rsidR="00CE670E">
              <w:trPr>
                <w:trHeight w:val="405"/>
              </w:trPr>
              <w:tc>
                <w:tcPr>
                  <w:tcW w:w="13860" w:type="dxa"/>
                  <w:tcBorders>
                    <w:top w:val="nil"/>
                    <w:left w:val="nil"/>
                    <w:bottom w:val="nil"/>
                    <w:right w:val="nil"/>
                  </w:tcBorders>
                  <w:shd w:val="clear" w:color="auto" w:fill="auto"/>
                  <w:vAlign w:val="center"/>
                </w:tcPr>
                <w:p w:rsidR="00CE670E" w:rsidRDefault="000C0982">
                  <w:pPr>
                    <w:widowControl/>
                    <w:jc w:val="center"/>
                    <w:rPr>
                      <w:rFonts w:ascii="宋体" w:hAnsi="宋体" w:cs="宋体"/>
                      <w:b/>
                      <w:bCs/>
                      <w:color w:val="000000"/>
                      <w:kern w:val="0"/>
                      <w:sz w:val="32"/>
                      <w:szCs w:val="32"/>
                    </w:rPr>
                  </w:pPr>
                  <w:r>
                    <w:rPr>
                      <w:rFonts w:ascii="宋体" w:hAnsi="宋体" w:cs="宋体" w:hint="eastAsia"/>
                      <w:b/>
                      <w:bCs/>
                      <w:color w:val="000000"/>
                      <w:kern w:val="0"/>
                      <w:sz w:val="32"/>
                      <w:szCs w:val="32"/>
                    </w:rPr>
                    <w:lastRenderedPageBreak/>
                    <w:t>项目支出绩效自评表</w:t>
                  </w:r>
                  <w:r>
                    <w:rPr>
                      <w:rFonts w:ascii="宋体" w:hAnsi="宋体" w:cs="宋体" w:hint="eastAsia"/>
                      <w:color w:val="000000"/>
                      <w:kern w:val="0"/>
                      <w:sz w:val="32"/>
                      <w:szCs w:val="32"/>
                    </w:rPr>
                    <w:t xml:space="preserve"> </w:t>
                  </w:r>
                </w:p>
              </w:tc>
            </w:tr>
            <w:tr w:rsidR="00CE670E">
              <w:trPr>
                <w:trHeight w:val="435"/>
              </w:trPr>
              <w:tc>
                <w:tcPr>
                  <w:tcW w:w="13860" w:type="dxa"/>
                  <w:tcBorders>
                    <w:top w:val="nil"/>
                    <w:left w:val="nil"/>
                    <w:bottom w:val="nil"/>
                    <w:right w:val="nil"/>
                  </w:tcBorders>
                  <w:shd w:val="clear" w:color="auto" w:fill="auto"/>
                  <w:vAlign w:val="center"/>
                </w:tcPr>
                <w:p w:rsidR="00CE670E" w:rsidRDefault="000C0982">
                  <w:pPr>
                    <w:widowControl/>
                    <w:jc w:val="center"/>
                    <w:rPr>
                      <w:rFonts w:ascii="宋体" w:hAnsi="宋体" w:cs="宋体"/>
                      <w:color w:val="000000"/>
                      <w:kern w:val="0"/>
                      <w:sz w:val="22"/>
                      <w:szCs w:val="22"/>
                    </w:rPr>
                  </w:pPr>
                  <w:r>
                    <w:rPr>
                      <w:rFonts w:ascii="宋体" w:hAnsi="宋体" w:cs="宋体" w:hint="eastAsia"/>
                      <w:color w:val="000000"/>
                      <w:kern w:val="0"/>
                      <w:sz w:val="22"/>
                      <w:szCs w:val="22"/>
                    </w:rPr>
                    <w:t>（2024年度）</w:t>
                  </w:r>
                </w:p>
              </w:tc>
            </w:tr>
          </w:tbl>
          <w:p w:rsidR="00CE670E" w:rsidRPr="00FC7713" w:rsidRDefault="00CE670E" w:rsidP="00FC7713">
            <w:bookmarkStart w:id="0" w:name="_GoBack"/>
            <w:bookmarkEnd w:id="0"/>
          </w:p>
        </w:tc>
      </w:tr>
      <w:tr w:rsidR="00CE670E">
        <w:trPr>
          <w:gridAfter w:val="1"/>
          <w:wAfter w:w="216" w:type="dxa"/>
          <w:trHeight w:val="402"/>
        </w:trPr>
        <w:tc>
          <w:tcPr>
            <w:tcW w:w="334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lastRenderedPageBreak/>
              <w:t>项目名称</w:t>
            </w:r>
          </w:p>
        </w:tc>
        <w:tc>
          <w:tcPr>
            <w:tcW w:w="10520" w:type="dxa"/>
            <w:gridSpan w:val="13"/>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化妆品审查业务印刷</w:t>
            </w:r>
          </w:p>
        </w:tc>
      </w:tr>
      <w:tr w:rsidR="00CE670E">
        <w:trPr>
          <w:gridAfter w:val="1"/>
          <w:wAfter w:w="216" w:type="dxa"/>
          <w:trHeight w:val="402"/>
        </w:trPr>
        <w:tc>
          <w:tcPr>
            <w:tcW w:w="334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主管部门</w:t>
            </w:r>
          </w:p>
        </w:tc>
        <w:tc>
          <w:tcPr>
            <w:tcW w:w="5060" w:type="dxa"/>
            <w:gridSpan w:val="6"/>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北京市药品监督管理局066</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实施单位</w:t>
            </w:r>
          </w:p>
        </w:tc>
        <w:tc>
          <w:tcPr>
            <w:tcW w:w="3760" w:type="dxa"/>
            <w:gridSpan w:val="5"/>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北京市化妆品审评检查中心</w:t>
            </w:r>
          </w:p>
        </w:tc>
      </w:tr>
      <w:tr w:rsidR="00CE670E">
        <w:trPr>
          <w:gridAfter w:val="1"/>
          <w:wAfter w:w="216" w:type="dxa"/>
          <w:trHeight w:val="402"/>
        </w:trPr>
        <w:tc>
          <w:tcPr>
            <w:tcW w:w="334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项目负责人</w:t>
            </w:r>
          </w:p>
        </w:tc>
        <w:tc>
          <w:tcPr>
            <w:tcW w:w="5060" w:type="dxa"/>
            <w:gridSpan w:val="6"/>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刘晓</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联系电话</w:t>
            </w:r>
          </w:p>
        </w:tc>
        <w:tc>
          <w:tcPr>
            <w:tcW w:w="3760" w:type="dxa"/>
            <w:gridSpan w:val="5"/>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55527197</w:t>
            </w:r>
          </w:p>
        </w:tc>
      </w:tr>
      <w:tr w:rsidR="00CE670E">
        <w:trPr>
          <w:gridAfter w:val="1"/>
          <w:wAfter w:w="216" w:type="dxa"/>
          <w:trHeight w:val="600"/>
        </w:trPr>
        <w:tc>
          <w:tcPr>
            <w:tcW w:w="334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项目资金（万元）</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年初预算数</w:t>
            </w:r>
          </w:p>
        </w:tc>
        <w:tc>
          <w:tcPr>
            <w:tcW w:w="15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全年预算数</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全年执行数</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执行率</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r>
      <w:tr w:rsidR="00CE670E">
        <w:trPr>
          <w:gridAfter w:val="1"/>
          <w:wAfter w:w="216" w:type="dxa"/>
          <w:trHeight w:val="402"/>
        </w:trPr>
        <w:tc>
          <w:tcPr>
            <w:tcW w:w="3340" w:type="dxa"/>
            <w:gridSpan w:val="6"/>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年度资金总额：</w:t>
            </w:r>
          </w:p>
        </w:tc>
        <w:tc>
          <w:tcPr>
            <w:tcW w:w="13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15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17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0.70082</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10.00 </w:t>
            </w:r>
          </w:p>
        </w:tc>
        <w:tc>
          <w:tcPr>
            <w:tcW w:w="124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77.87%</w:t>
            </w:r>
          </w:p>
        </w:tc>
        <w:tc>
          <w:tcPr>
            <w:tcW w:w="136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7.79 </w:t>
            </w:r>
          </w:p>
        </w:tc>
      </w:tr>
      <w:tr w:rsidR="00CE670E">
        <w:trPr>
          <w:gridAfter w:val="1"/>
          <w:wAfter w:w="216" w:type="dxa"/>
          <w:trHeight w:val="402"/>
        </w:trPr>
        <w:tc>
          <w:tcPr>
            <w:tcW w:w="3340" w:type="dxa"/>
            <w:gridSpan w:val="6"/>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其中：当年财政拨款</w:t>
            </w:r>
          </w:p>
        </w:tc>
        <w:tc>
          <w:tcPr>
            <w:tcW w:w="13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15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0.9</w:t>
            </w:r>
          </w:p>
        </w:tc>
        <w:tc>
          <w:tcPr>
            <w:tcW w:w="17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0.70082</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gridAfter w:val="1"/>
          <w:wAfter w:w="216" w:type="dxa"/>
          <w:trHeight w:val="402"/>
        </w:trPr>
        <w:tc>
          <w:tcPr>
            <w:tcW w:w="3340" w:type="dxa"/>
            <w:gridSpan w:val="6"/>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上年结转资金</w:t>
            </w:r>
          </w:p>
        </w:tc>
        <w:tc>
          <w:tcPr>
            <w:tcW w:w="13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gridSpan w:val="2"/>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gridAfter w:val="1"/>
          <w:wAfter w:w="216" w:type="dxa"/>
          <w:trHeight w:val="402"/>
        </w:trPr>
        <w:tc>
          <w:tcPr>
            <w:tcW w:w="3340" w:type="dxa"/>
            <w:gridSpan w:val="6"/>
            <w:vMerge/>
            <w:tcBorders>
              <w:top w:val="single" w:sz="4" w:space="0" w:color="auto"/>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其他资金</w:t>
            </w:r>
          </w:p>
        </w:tc>
        <w:tc>
          <w:tcPr>
            <w:tcW w:w="13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5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60" w:type="dxa"/>
            <w:tcBorders>
              <w:top w:val="nil"/>
              <w:left w:val="nil"/>
              <w:bottom w:val="single" w:sz="4" w:space="0" w:color="auto"/>
              <w:right w:val="single" w:sz="4" w:space="0" w:color="auto"/>
            </w:tcBorders>
            <w:shd w:val="clear" w:color="000000" w:fill="FFFFFF"/>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CE670E">
        <w:trPr>
          <w:gridAfter w:val="1"/>
          <w:wAfter w:w="216" w:type="dxa"/>
          <w:trHeight w:val="435"/>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年度总体目标</w:t>
            </w:r>
          </w:p>
        </w:tc>
        <w:tc>
          <w:tcPr>
            <w:tcW w:w="7840" w:type="dxa"/>
            <w:gridSpan w:val="11"/>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预期目标</w:t>
            </w:r>
          </w:p>
        </w:tc>
        <w:tc>
          <w:tcPr>
            <w:tcW w:w="5460" w:type="dxa"/>
            <w:gridSpan w:val="7"/>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实际完成情况</w:t>
            </w:r>
          </w:p>
        </w:tc>
      </w:tr>
      <w:tr w:rsidR="00CE670E">
        <w:trPr>
          <w:gridAfter w:val="1"/>
          <w:wAfter w:w="216" w:type="dxa"/>
          <w:trHeight w:val="174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7840" w:type="dxa"/>
            <w:gridSpan w:val="11"/>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用于培训北京市化妆品生产企业备案企业，提升化妆品企业安全生产意识，进一步提升化妆品产品质量。</w:t>
            </w:r>
          </w:p>
        </w:tc>
        <w:tc>
          <w:tcPr>
            <w:tcW w:w="5460" w:type="dxa"/>
            <w:gridSpan w:val="7"/>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已完成2024年度北京市化妆品企业培训，提升了化妆品企业安全生产意识，进一步提升化妆品产品质量。</w:t>
            </w:r>
          </w:p>
        </w:tc>
      </w:tr>
      <w:tr w:rsidR="00CE670E">
        <w:trPr>
          <w:gridAfter w:val="1"/>
          <w:wAfter w:w="216" w:type="dxa"/>
          <w:trHeight w:val="810"/>
        </w:trPr>
        <w:tc>
          <w:tcPr>
            <w:tcW w:w="560" w:type="dxa"/>
            <w:vMerge w:val="restart"/>
            <w:tcBorders>
              <w:top w:val="nil"/>
              <w:left w:val="single" w:sz="4" w:space="0" w:color="auto"/>
              <w:bottom w:val="single" w:sz="4" w:space="0" w:color="auto"/>
              <w:right w:val="single" w:sz="4" w:space="0" w:color="auto"/>
            </w:tcBorders>
            <w:shd w:val="clear" w:color="auto" w:fill="auto"/>
            <w:textDirection w:val="tbRlV"/>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绩效指标</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一级指标</w:t>
            </w: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二级指标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三级指标</w:t>
            </w:r>
          </w:p>
        </w:tc>
        <w:tc>
          <w:tcPr>
            <w:tcW w:w="2800" w:type="dxa"/>
            <w:gridSpan w:val="4"/>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年度指标值</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实际完成值</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偏差原因分析及改进措施</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gridSpan w:val="2"/>
            <w:vMerge w:val="restart"/>
            <w:tcBorders>
              <w:top w:val="nil"/>
              <w:left w:val="single" w:sz="4" w:space="0" w:color="auto"/>
              <w:bottom w:val="nil"/>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产出指标</w:t>
            </w: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《化妆品咨询动态》印刷数量</w:t>
            </w:r>
          </w:p>
        </w:tc>
        <w:tc>
          <w:tcPr>
            <w:tcW w:w="2800" w:type="dxa"/>
            <w:gridSpan w:val="4"/>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≥200套</w:t>
            </w:r>
          </w:p>
        </w:tc>
        <w:tc>
          <w:tcPr>
            <w:tcW w:w="1700" w:type="dxa"/>
            <w:gridSpan w:val="2"/>
            <w:tcBorders>
              <w:top w:val="nil"/>
              <w:left w:val="nil"/>
              <w:bottom w:val="nil"/>
              <w:right w:val="nil"/>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212套</w:t>
            </w:r>
          </w:p>
        </w:tc>
        <w:tc>
          <w:tcPr>
            <w:tcW w:w="1160" w:type="dxa"/>
            <w:tcBorders>
              <w:top w:val="nil"/>
              <w:left w:val="single" w:sz="4" w:space="0" w:color="auto"/>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gridSpan w:val="2"/>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印刷品差错率</w:t>
            </w:r>
          </w:p>
        </w:tc>
        <w:tc>
          <w:tcPr>
            <w:tcW w:w="2800" w:type="dxa"/>
            <w:gridSpan w:val="4"/>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不合格率≤5%</w:t>
            </w:r>
          </w:p>
        </w:tc>
        <w:tc>
          <w:tcPr>
            <w:tcW w:w="170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gridSpan w:val="2"/>
            <w:vMerge/>
            <w:tcBorders>
              <w:top w:val="nil"/>
              <w:left w:val="single" w:sz="4" w:space="0" w:color="auto"/>
              <w:bottom w:val="nil"/>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时效指标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印刷资料实施期</w:t>
            </w:r>
          </w:p>
        </w:tc>
        <w:tc>
          <w:tcPr>
            <w:tcW w:w="2800" w:type="dxa"/>
            <w:gridSpan w:val="4"/>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1年</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1年</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成本指标</w:t>
            </w: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经济成本指标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《化妆品咨询动态》印刷成本</w:t>
            </w:r>
          </w:p>
        </w:tc>
        <w:tc>
          <w:tcPr>
            <w:tcW w:w="2800" w:type="dxa"/>
            <w:gridSpan w:val="4"/>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≤80元</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33.06元</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10</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效益指标</w:t>
            </w:r>
          </w:p>
        </w:tc>
        <w:tc>
          <w:tcPr>
            <w:tcW w:w="1540" w:type="dxa"/>
            <w:gridSpan w:val="3"/>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社会效益指标</w:t>
            </w:r>
          </w:p>
        </w:tc>
        <w:tc>
          <w:tcPr>
            <w:tcW w:w="2260" w:type="dxa"/>
            <w:gridSpan w:val="2"/>
            <w:tcBorders>
              <w:top w:val="single" w:sz="4" w:space="0" w:color="auto"/>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化妆品产品备案检查效率</w:t>
            </w:r>
          </w:p>
        </w:tc>
        <w:tc>
          <w:tcPr>
            <w:tcW w:w="2800" w:type="dxa"/>
            <w:gridSpan w:val="4"/>
            <w:tcBorders>
              <w:top w:val="single" w:sz="4" w:space="0" w:color="auto"/>
              <w:left w:val="nil"/>
              <w:bottom w:val="single" w:sz="4" w:space="0" w:color="auto"/>
              <w:right w:val="single" w:sz="4" w:space="0" w:color="auto"/>
            </w:tcBorders>
            <w:shd w:val="clear" w:color="auto" w:fill="auto"/>
            <w:noWrap/>
            <w:vAlign w:val="center"/>
          </w:tcPr>
          <w:p w:rsidR="00CE670E" w:rsidRDefault="000C0982">
            <w:pPr>
              <w:widowControl/>
              <w:jc w:val="center"/>
              <w:rPr>
                <w:rFonts w:ascii="宋体" w:hAnsi="宋体" w:cs="宋体"/>
                <w:kern w:val="0"/>
                <w:sz w:val="20"/>
                <w:szCs w:val="20"/>
              </w:rPr>
            </w:pPr>
            <w:r>
              <w:rPr>
                <w:rFonts w:ascii="宋体" w:hAnsi="宋体" w:cs="宋体" w:hint="eastAsia"/>
                <w:kern w:val="0"/>
                <w:sz w:val="20"/>
                <w:szCs w:val="20"/>
              </w:rPr>
              <w:t>得到提升</w:t>
            </w:r>
          </w:p>
        </w:tc>
        <w:tc>
          <w:tcPr>
            <w:tcW w:w="170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得到提升</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kern w:val="0"/>
                <w:sz w:val="20"/>
                <w:szCs w:val="20"/>
              </w:rPr>
            </w:pPr>
            <w:r>
              <w:rPr>
                <w:rFonts w:ascii="宋体" w:hAnsi="宋体" w:cs="宋体" w:hint="eastAsia"/>
                <w:kern w:val="0"/>
                <w:sz w:val="20"/>
                <w:szCs w:val="20"/>
              </w:rPr>
              <w:t xml:space="preserve">　</w:t>
            </w:r>
          </w:p>
        </w:tc>
      </w:tr>
      <w:tr w:rsidR="00CE670E">
        <w:trPr>
          <w:gridAfter w:val="1"/>
          <w:wAfter w:w="216" w:type="dxa"/>
          <w:trHeight w:val="600"/>
        </w:trPr>
        <w:tc>
          <w:tcPr>
            <w:tcW w:w="560" w:type="dxa"/>
            <w:vMerge/>
            <w:tcBorders>
              <w:top w:val="nil"/>
              <w:left w:val="single" w:sz="4" w:space="0" w:color="auto"/>
              <w:bottom w:val="single" w:sz="4" w:space="0" w:color="auto"/>
              <w:right w:val="single" w:sz="4" w:space="0" w:color="auto"/>
            </w:tcBorders>
            <w:vAlign w:val="center"/>
          </w:tcPr>
          <w:p w:rsidR="00CE670E" w:rsidRDefault="00CE670E">
            <w:pPr>
              <w:widowControl/>
              <w:jc w:val="left"/>
              <w:rPr>
                <w:rFonts w:ascii="宋体" w:hAnsi="宋体" w:cs="宋体"/>
                <w:color w:val="000000"/>
                <w:kern w:val="0"/>
                <w:sz w:val="20"/>
                <w:szCs w:val="20"/>
              </w:rPr>
            </w:pPr>
          </w:p>
        </w:tc>
        <w:tc>
          <w:tcPr>
            <w:tcW w:w="9540" w:type="dxa"/>
            <w:gridSpan w:val="13"/>
            <w:tcBorders>
              <w:top w:val="single" w:sz="4" w:space="0" w:color="auto"/>
              <w:left w:val="nil"/>
              <w:bottom w:val="single" w:sz="4" w:space="0" w:color="auto"/>
              <w:right w:val="single" w:sz="4" w:space="0" w:color="000000"/>
            </w:tcBorders>
            <w:shd w:val="clear" w:color="auto" w:fill="auto"/>
            <w:vAlign w:val="center"/>
          </w:tcPr>
          <w:p w:rsidR="00CE670E" w:rsidRDefault="000C0982">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总分</w:t>
            </w:r>
          </w:p>
        </w:tc>
        <w:tc>
          <w:tcPr>
            <w:tcW w:w="1160" w:type="dxa"/>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100.00 </w:t>
            </w:r>
          </w:p>
        </w:tc>
        <w:tc>
          <w:tcPr>
            <w:tcW w:w="124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right"/>
              <w:rPr>
                <w:rFonts w:ascii="宋体" w:hAnsi="宋体" w:cs="宋体"/>
                <w:b/>
                <w:bCs/>
                <w:color w:val="000000"/>
                <w:kern w:val="0"/>
                <w:sz w:val="20"/>
                <w:szCs w:val="20"/>
              </w:rPr>
            </w:pPr>
            <w:r>
              <w:rPr>
                <w:rFonts w:ascii="宋体" w:hAnsi="宋体" w:cs="宋体" w:hint="eastAsia"/>
                <w:b/>
                <w:bCs/>
                <w:color w:val="000000"/>
                <w:kern w:val="0"/>
                <w:sz w:val="20"/>
                <w:szCs w:val="20"/>
              </w:rPr>
              <w:t xml:space="preserve">97.79 </w:t>
            </w:r>
          </w:p>
        </w:tc>
        <w:tc>
          <w:tcPr>
            <w:tcW w:w="1360" w:type="dxa"/>
            <w:gridSpan w:val="2"/>
            <w:tcBorders>
              <w:top w:val="nil"/>
              <w:left w:val="nil"/>
              <w:bottom w:val="single" w:sz="4" w:space="0" w:color="auto"/>
              <w:right w:val="single" w:sz="4" w:space="0" w:color="auto"/>
            </w:tcBorders>
            <w:shd w:val="clear" w:color="auto" w:fill="auto"/>
            <w:vAlign w:val="center"/>
          </w:tcPr>
          <w:p w:rsidR="00CE670E" w:rsidRDefault="000C09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bl>
    <w:p w:rsidR="00CE670E" w:rsidRDefault="00CE670E">
      <w:pPr>
        <w:pStyle w:val="2"/>
      </w:pPr>
    </w:p>
    <w:sectPr w:rsidR="00CE670E">
      <w:footerReference w:type="even" r:id="rId12"/>
      <w:footerReference w:type="default" r:id="rId13"/>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9FF" w:rsidRDefault="00C149FF">
      <w:r>
        <w:separator/>
      </w:r>
    </w:p>
  </w:endnote>
  <w:endnote w:type="continuationSeparator" w:id="0">
    <w:p w:rsidR="00C149FF" w:rsidRDefault="00C14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方正隶书_GBK">
    <w:altName w:val="Arial Unicode MS"/>
    <w:charset w:val="86"/>
    <w:family w:val="auto"/>
    <w:pitch w:val="default"/>
    <w:sig w:usb0="00000000" w:usb1="08000000" w:usb2="00000000" w:usb3="00000000" w:csb0="00040000" w:csb1="00000000"/>
  </w:font>
  <w:font w:name="方正书宋_GBK">
    <w:altName w:val="Arial Unicode MS"/>
    <w:charset w:val="86"/>
    <w:family w:val="auto"/>
    <w:pitch w:val="default"/>
    <w:sig w:usb0="00000000" w:usb1="08000000" w:usb2="00000000" w:usb3="00000000" w:csb0="00040000" w:csb1="00000000"/>
  </w:font>
  <w:font w:name="Droid Sans">
    <w:altName w:val="Noto Serif CJK JP"/>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0E" w:rsidRDefault="000C0982">
    <w:pPr>
      <w:pStyle w:val="a7"/>
      <w:framePr w:wrap="around" w:vAnchor="text" w:hAnchor="margin" w:xAlign="center" w:y="1"/>
      <w:rPr>
        <w:rStyle w:val="ab"/>
      </w:rPr>
    </w:pPr>
    <w:r>
      <w:fldChar w:fldCharType="begin"/>
    </w:r>
    <w:r>
      <w:rPr>
        <w:rStyle w:val="ab"/>
      </w:rPr>
      <w:instrText xml:space="preserve">PAGE  </w:instrText>
    </w:r>
    <w:r>
      <w:fldChar w:fldCharType="separate"/>
    </w:r>
    <w:r w:rsidR="004911DD">
      <w:rPr>
        <w:rStyle w:val="ab"/>
        <w:noProof/>
      </w:rPr>
      <w:t>3</w:t>
    </w:r>
    <w:r>
      <w:fldChar w:fldCharType="end"/>
    </w:r>
  </w:p>
  <w:p w:rsidR="00CE670E" w:rsidRDefault="00CE670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0E" w:rsidRDefault="000C0982">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CE670E" w:rsidRDefault="00CE670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0E" w:rsidRDefault="000C0982">
    <w:pPr>
      <w:pStyle w:val="a7"/>
      <w:framePr w:wrap="around" w:vAnchor="text" w:hAnchor="margin" w:xAlign="center" w:y="1"/>
      <w:rPr>
        <w:rStyle w:val="ab"/>
      </w:rPr>
    </w:pPr>
    <w:r>
      <w:fldChar w:fldCharType="begin"/>
    </w:r>
    <w:r>
      <w:rPr>
        <w:rStyle w:val="ab"/>
      </w:rPr>
      <w:instrText xml:space="preserve">PAGE  </w:instrText>
    </w:r>
    <w:r>
      <w:fldChar w:fldCharType="separate"/>
    </w:r>
    <w:r w:rsidR="00FC7713">
      <w:rPr>
        <w:rStyle w:val="ab"/>
        <w:noProof/>
      </w:rPr>
      <w:t>17</w:t>
    </w:r>
    <w:r>
      <w:fldChar w:fldCharType="end"/>
    </w:r>
  </w:p>
  <w:p w:rsidR="00CE670E" w:rsidRDefault="00CE670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9FF" w:rsidRDefault="00C149FF">
      <w:r>
        <w:separator/>
      </w:r>
    </w:p>
  </w:footnote>
  <w:footnote w:type="continuationSeparator" w:id="0">
    <w:p w:rsidR="00C149FF" w:rsidRDefault="00C149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start w:val="1"/>
      <w:numFmt w:val="chineseCounting"/>
      <w:suff w:val="nothing"/>
      <w:lvlText w:val="%1、"/>
      <w:lvlJc w:val="left"/>
      <w:rPr>
        <w:rFonts w:hint="eastAsia"/>
      </w:rPr>
    </w:lvl>
  </w:abstractNum>
  <w:abstractNum w:abstractNumId="1">
    <w:nsid w:val="F698FD27"/>
    <w:multiLevelType w:val="singleLevel"/>
    <w:tmpl w:val="F698FD27"/>
    <w:lvl w:ilvl="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2FDAAF8"/>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4A4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0982"/>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64478"/>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2902"/>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6716"/>
    <w:rsid w:val="00470A10"/>
    <w:rsid w:val="00471C52"/>
    <w:rsid w:val="0047460C"/>
    <w:rsid w:val="00474FF2"/>
    <w:rsid w:val="00480098"/>
    <w:rsid w:val="00484A93"/>
    <w:rsid w:val="00485E12"/>
    <w:rsid w:val="004865DA"/>
    <w:rsid w:val="0048779C"/>
    <w:rsid w:val="00487AB7"/>
    <w:rsid w:val="00487ED0"/>
    <w:rsid w:val="004911DD"/>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0B5E"/>
    <w:rsid w:val="0052381C"/>
    <w:rsid w:val="005346B3"/>
    <w:rsid w:val="0054051C"/>
    <w:rsid w:val="00546A84"/>
    <w:rsid w:val="00547BE2"/>
    <w:rsid w:val="00551004"/>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2F4"/>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206"/>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2EB"/>
    <w:rsid w:val="00B55D47"/>
    <w:rsid w:val="00B6204E"/>
    <w:rsid w:val="00B649EC"/>
    <w:rsid w:val="00B728DD"/>
    <w:rsid w:val="00B72D43"/>
    <w:rsid w:val="00B73715"/>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3D3E"/>
    <w:rsid w:val="00BC4E01"/>
    <w:rsid w:val="00BC73F6"/>
    <w:rsid w:val="00BD1177"/>
    <w:rsid w:val="00BD1374"/>
    <w:rsid w:val="00BD3531"/>
    <w:rsid w:val="00BD4E35"/>
    <w:rsid w:val="00BE34CA"/>
    <w:rsid w:val="00BF116A"/>
    <w:rsid w:val="00C0623C"/>
    <w:rsid w:val="00C06A07"/>
    <w:rsid w:val="00C132B6"/>
    <w:rsid w:val="00C149FF"/>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4E27"/>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2D9B"/>
    <w:rsid w:val="00CE19F6"/>
    <w:rsid w:val="00CE670E"/>
    <w:rsid w:val="00CE6B76"/>
    <w:rsid w:val="00CF366B"/>
    <w:rsid w:val="00CF5D9D"/>
    <w:rsid w:val="00CF606C"/>
    <w:rsid w:val="00CF7423"/>
    <w:rsid w:val="00D001F5"/>
    <w:rsid w:val="00D023B2"/>
    <w:rsid w:val="00D03E80"/>
    <w:rsid w:val="00D1505F"/>
    <w:rsid w:val="00D15B9F"/>
    <w:rsid w:val="00D15DD6"/>
    <w:rsid w:val="00D25548"/>
    <w:rsid w:val="00D2601F"/>
    <w:rsid w:val="00D27759"/>
    <w:rsid w:val="00D30028"/>
    <w:rsid w:val="00D325D3"/>
    <w:rsid w:val="00D3706F"/>
    <w:rsid w:val="00D408D6"/>
    <w:rsid w:val="00D511DD"/>
    <w:rsid w:val="00D5393C"/>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3E79"/>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04"/>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89F"/>
    <w:rsid w:val="00FA19F5"/>
    <w:rsid w:val="00FA4A69"/>
    <w:rsid w:val="00FA649A"/>
    <w:rsid w:val="00FB1248"/>
    <w:rsid w:val="00FB208D"/>
    <w:rsid w:val="00FB3CF4"/>
    <w:rsid w:val="00FB4A27"/>
    <w:rsid w:val="00FB4A49"/>
    <w:rsid w:val="00FB69B3"/>
    <w:rsid w:val="00FC6FBE"/>
    <w:rsid w:val="00FC7713"/>
    <w:rsid w:val="00FD1162"/>
    <w:rsid w:val="00FD2232"/>
    <w:rsid w:val="00FD4AE7"/>
    <w:rsid w:val="00FD65A9"/>
    <w:rsid w:val="00FD7508"/>
    <w:rsid w:val="00FE1E51"/>
    <w:rsid w:val="00FE2496"/>
    <w:rsid w:val="00FE6A2B"/>
    <w:rsid w:val="00FE6D22"/>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EBF4099"/>
    <w:rsid w:val="4FA90297"/>
    <w:rsid w:val="4FC41A43"/>
    <w:rsid w:val="51DB3C59"/>
    <w:rsid w:val="550C0952"/>
    <w:rsid w:val="55762E42"/>
    <w:rsid w:val="57A7B272"/>
    <w:rsid w:val="58470068"/>
    <w:rsid w:val="58747CAC"/>
    <w:rsid w:val="5A1720F9"/>
    <w:rsid w:val="5B9C37C2"/>
    <w:rsid w:val="5BA7C654"/>
    <w:rsid w:val="60A54109"/>
    <w:rsid w:val="61D01CDF"/>
    <w:rsid w:val="62D7ABD1"/>
    <w:rsid w:val="64C0607C"/>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1721.48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egendEntry>
        <c:idx val="5"/>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1632.66</c:v>
                </c:pt>
                <c:pt idx="1">
                  <c:v>66.150000000000006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992</Words>
  <Characters>5656</Characters>
  <Application>Microsoft Office Word</Application>
  <DocSecurity>0</DocSecurity>
  <Lines>47</Lines>
  <Paragraphs>13</Paragraphs>
  <ScaleCrop>false</ScaleCrop>
  <Company>Microsoft</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niyuanhui</cp:lastModifiedBy>
  <cp:revision>6</cp:revision>
  <cp:lastPrinted>2020-08-08T03:39:00Z</cp:lastPrinted>
  <dcterms:created xsi:type="dcterms:W3CDTF">2025-09-11T03:46:00Z</dcterms:created>
  <dcterms:modified xsi:type="dcterms:W3CDTF">2025-09-11T06:18:00Z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