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DE" w:rsidRDefault="00190EDE">
      <w:pPr>
        <w:jc w:val="center"/>
        <w:rPr>
          <w:rFonts w:ascii="仿宋_GB2312" w:eastAsia="仿宋_GB2312" w:hint="eastAsia"/>
          <w:b/>
          <w:sz w:val="32"/>
          <w:szCs w:val="32"/>
        </w:rPr>
      </w:pPr>
    </w:p>
    <w:p w:rsidR="00190EDE" w:rsidRDefault="00190EDE">
      <w:pPr>
        <w:jc w:val="center"/>
        <w:rPr>
          <w:rFonts w:ascii="黑体" w:eastAsia="黑体"/>
          <w:sz w:val="72"/>
          <w:szCs w:val="72"/>
        </w:rPr>
      </w:pPr>
    </w:p>
    <w:p w:rsidR="00190EDE" w:rsidRDefault="00190EDE">
      <w:pPr>
        <w:rPr>
          <w:rFonts w:ascii="黑体" w:eastAsia="黑体"/>
          <w:sz w:val="72"/>
          <w:szCs w:val="72"/>
        </w:rPr>
      </w:pPr>
    </w:p>
    <w:p w:rsidR="00190EDE" w:rsidRDefault="00190EDE">
      <w:pPr>
        <w:jc w:val="center"/>
        <w:rPr>
          <w:rFonts w:ascii="黑体" w:eastAsia="黑体"/>
          <w:sz w:val="72"/>
          <w:szCs w:val="72"/>
        </w:rPr>
      </w:pPr>
    </w:p>
    <w:p w:rsidR="00190EDE" w:rsidRDefault="00772BB2">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Pr>
          <w:rFonts w:ascii="黑体" w:eastAsia="黑体" w:hint="eastAsia"/>
          <w:sz w:val="72"/>
          <w:szCs w:val="72"/>
        </w:rPr>
        <w:t>公开</w:t>
      </w:r>
      <w:r>
        <w:rPr>
          <w:rFonts w:ascii="黑体" w:eastAsia="黑体"/>
          <w:sz w:val="72"/>
          <w:szCs w:val="72"/>
        </w:rPr>
        <w:t>）</w:t>
      </w:r>
    </w:p>
    <w:p w:rsidR="00190EDE" w:rsidRDefault="00190EDE">
      <w:pPr>
        <w:jc w:val="center"/>
        <w:rPr>
          <w:rFonts w:ascii="黑体" w:eastAsia="黑体"/>
          <w:sz w:val="52"/>
          <w:szCs w:val="52"/>
        </w:rPr>
      </w:pPr>
    </w:p>
    <w:p w:rsidR="00190EDE" w:rsidRDefault="00190EDE">
      <w:pPr>
        <w:jc w:val="center"/>
        <w:rPr>
          <w:rFonts w:ascii="黑体" w:eastAsia="黑体"/>
          <w:sz w:val="52"/>
          <w:szCs w:val="52"/>
        </w:rPr>
      </w:pPr>
    </w:p>
    <w:p w:rsidR="00190EDE" w:rsidRDefault="00190EDE">
      <w:pPr>
        <w:jc w:val="center"/>
        <w:rPr>
          <w:rFonts w:ascii="黑体" w:eastAsia="黑体"/>
          <w:sz w:val="52"/>
          <w:szCs w:val="52"/>
        </w:rPr>
      </w:pPr>
    </w:p>
    <w:p w:rsidR="00190EDE" w:rsidRDefault="00190EDE">
      <w:pPr>
        <w:jc w:val="center"/>
        <w:rPr>
          <w:rFonts w:ascii="黑体" w:eastAsia="黑体"/>
          <w:sz w:val="52"/>
          <w:szCs w:val="52"/>
        </w:rPr>
      </w:pPr>
    </w:p>
    <w:p w:rsidR="00190EDE" w:rsidRDefault="00190EDE">
      <w:pPr>
        <w:jc w:val="center"/>
        <w:rPr>
          <w:rFonts w:ascii="黑体" w:eastAsia="黑体" w:hint="eastAsia"/>
          <w:sz w:val="32"/>
          <w:szCs w:val="32"/>
        </w:rPr>
      </w:pPr>
    </w:p>
    <w:p w:rsidR="00E41E87" w:rsidRDefault="00E41E87">
      <w:pPr>
        <w:spacing w:line="500" w:lineRule="exact"/>
        <w:ind w:firstLine="645"/>
        <w:jc w:val="center"/>
        <w:rPr>
          <w:rFonts w:ascii="宋体" w:hAnsi="宋体" w:cs="宋体" w:hint="eastAsia"/>
          <w:b/>
          <w:bCs/>
          <w:kern w:val="0"/>
          <w:sz w:val="44"/>
          <w:szCs w:val="36"/>
        </w:rPr>
      </w:pPr>
    </w:p>
    <w:p w:rsidR="00190EDE" w:rsidRDefault="00772BB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190EDE" w:rsidRDefault="00772BB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190EDE" w:rsidRDefault="00772BB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190EDE" w:rsidRDefault="00772BB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190EDE" w:rsidRDefault="00772BB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190EDE" w:rsidRDefault="00772BB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190EDE" w:rsidRDefault="00772BB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190EDE" w:rsidRDefault="00190EDE">
      <w:pPr>
        <w:tabs>
          <w:tab w:val="center" w:pos="6979"/>
        </w:tabs>
        <w:spacing w:beforeLines="50" w:before="156" w:afterLines="50" w:after="156"/>
        <w:jc w:val="center"/>
        <w:rPr>
          <w:rFonts w:ascii="宋体" w:hAnsi="宋体" w:cs="宋体"/>
          <w:b/>
          <w:bCs/>
          <w:spacing w:val="40"/>
          <w:kern w:val="0"/>
          <w:sz w:val="32"/>
          <w:szCs w:val="32"/>
        </w:rPr>
      </w:pPr>
    </w:p>
    <w:p w:rsidR="00190EDE" w:rsidRDefault="00190EDE">
      <w:pPr>
        <w:tabs>
          <w:tab w:val="center" w:pos="6979"/>
        </w:tabs>
        <w:spacing w:beforeLines="50" w:before="156" w:afterLines="50" w:after="156"/>
        <w:jc w:val="center"/>
        <w:rPr>
          <w:rFonts w:ascii="宋体" w:hAnsi="宋体" w:cs="宋体"/>
          <w:b/>
          <w:bCs/>
          <w:spacing w:val="40"/>
          <w:kern w:val="0"/>
          <w:sz w:val="32"/>
          <w:szCs w:val="32"/>
        </w:rPr>
      </w:pPr>
    </w:p>
    <w:p w:rsidR="00190EDE" w:rsidRDefault="00190EDE">
      <w:pPr>
        <w:tabs>
          <w:tab w:val="center" w:pos="6979"/>
        </w:tabs>
        <w:spacing w:beforeLines="50" w:before="156" w:afterLines="50" w:after="156"/>
        <w:jc w:val="center"/>
        <w:rPr>
          <w:rFonts w:ascii="宋体" w:hAnsi="宋体" w:cs="宋体"/>
          <w:b/>
          <w:bCs/>
          <w:spacing w:val="40"/>
          <w:kern w:val="0"/>
          <w:sz w:val="32"/>
          <w:szCs w:val="32"/>
        </w:rPr>
      </w:pPr>
    </w:p>
    <w:p w:rsidR="00190EDE" w:rsidRDefault="00190EDE">
      <w:pPr>
        <w:tabs>
          <w:tab w:val="center" w:pos="6979"/>
        </w:tabs>
        <w:spacing w:beforeLines="50" w:before="156" w:afterLines="50" w:after="156"/>
        <w:jc w:val="center"/>
        <w:rPr>
          <w:rFonts w:ascii="宋体" w:hAnsi="宋体" w:cs="宋体"/>
          <w:b/>
          <w:bCs/>
          <w:spacing w:val="40"/>
          <w:kern w:val="0"/>
          <w:sz w:val="32"/>
          <w:szCs w:val="32"/>
        </w:rPr>
      </w:pPr>
    </w:p>
    <w:p w:rsidR="00190EDE" w:rsidRDefault="00190EDE">
      <w:pPr>
        <w:tabs>
          <w:tab w:val="center" w:pos="6979"/>
        </w:tabs>
        <w:spacing w:beforeLines="50" w:before="156" w:afterLines="50" w:after="156"/>
        <w:jc w:val="center"/>
        <w:rPr>
          <w:rFonts w:ascii="宋体" w:hAnsi="宋体" w:cs="宋体"/>
          <w:b/>
          <w:bCs/>
          <w:spacing w:val="40"/>
          <w:kern w:val="0"/>
          <w:sz w:val="32"/>
          <w:szCs w:val="32"/>
        </w:rPr>
      </w:pPr>
    </w:p>
    <w:p w:rsidR="00190EDE" w:rsidRDefault="00772BB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190EDE" w:rsidRDefault="00772BB2">
      <w:pPr>
        <w:pStyle w:val="2"/>
        <w:rPr>
          <w:b w:val="0"/>
          <w:bCs w:val="0"/>
        </w:rPr>
        <w:sectPr w:rsidR="00190EDE">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190EDE" w:rsidRDefault="00772BB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190EDE" w:rsidRDefault="00772BB2" w:rsidP="00E41E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04004B" w:rsidRDefault="00772BB2">
      <w:pPr>
        <w:tabs>
          <w:tab w:val="center" w:pos="6979"/>
        </w:tabs>
        <w:spacing w:line="560" w:lineRule="exact"/>
        <w:ind w:firstLineChars="200" w:firstLine="560"/>
        <w:rPr>
          <w:rFonts w:ascii="仿宋_GB2312" w:eastAsia="仿宋_GB2312" w:hint="eastAsia"/>
          <w:kern w:val="0"/>
          <w:sz w:val="28"/>
          <w:szCs w:val="28"/>
        </w:rPr>
      </w:pPr>
      <w:r>
        <w:rPr>
          <w:rFonts w:ascii="仿宋_GB2312" w:eastAsia="仿宋_GB2312" w:hint="eastAsia"/>
          <w:kern w:val="0"/>
          <w:sz w:val="28"/>
          <w:szCs w:val="28"/>
        </w:rPr>
        <w:t>根据《中共北京市委机构编制委员会关于市市场监管局和市药监局所属事业单位改革有关事项的批复》（京编委</w:t>
      </w:r>
      <w:r>
        <w:rPr>
          <w:rFonts w:ascii="仿宋_GB2312" w:eastAsia="仿宋_GB2312" w:hint="eastAsia"/>
          <w:kern w:val="0"/>
          <w:sz w:val="28"/>
          <w:szCs w:val="28"/>
        </w:rPr>
        <w:t>[2021]137</w:t>
      </w:r>
      <w:r>
        <w:rPr>
          <w:rFonts w:ascii="仿宋_GB2312" w:eastAsia="仿宋_GB2312" w:hint="eastAsia"/>
          <w:kern w:val="0"/>
          <w:sz w:val="28"/>
          <w:szCs w:val="28"/>
        </w:rPr>
        <w:t>号）成立北京市药品监督管理局投诉举报中心，为北京市药品监督管理局直属</w:t>
      </w:r>
      <w:r>
        <w:rPr>
          <w:rFonts w:ascii="仿宋_GB2312" w:eastAsia="仿宋_GB2312" w:hint="eastAsia"/>
          <w:kern w:val="0"/>
          <w:sz w:val="28"/>
          <w:szCs w:val="28"/>
        </w:rPr>
        <w:t>正处级公益一类</w:t>
      </w:r>
      <w:r>
        <w:rPr>
          <w:rFonts w:ascii="仿宋_GB2312" w:eastAsia="仿宋_GB2312" w:hint="eastAsia"/>
          <w:kern w:val="0"/>
          <w:sz w:val="28"/>
          <w:szCs w:val="28"/>
        </w:rPr>
        <w:t>事业单位。</w:t>
      </w:r>
    </w:p>
    <w:p w:rsidR="00190EDE" w:rsidRDefault="00772BB2">
      <w:pPr>
        <w:tabs>
          <w:tab w:val="center" w:pos="6979"/>
        </w:tabs>
        <w:spacing w:line="560" w:lineRule="exact"/>
        <w:ind w:firstLineChars="200" w:firstLine="560"/>
        <w:rPr>
          <w:rFonts w:ascii="仿宋_GB2312" w:eastAsia="仿宋_GB2312"/>
          <w:kern w:val="0"/>
          <w:sz w:val="28"/>
          <w:szCs w:val="28"/>
        </w:rPr>
      </w:pPr>
      <w:r>
        <w:rPr>
          <w:rFonts w:ascii="仿宋_GB2312" w:eastAsia="仿宋_GB2312" w:hint="eastAsia"/>
          <w:kern w:val="0"/>
          <w:sz w:val="28"/>
          <w:szCs w:val="28"/>
        </w:rPr>
        <w:t>主要职责：承担本市药品监管政策咨询服务、举报投诉和“接诉即办”等方面事务性工作；</w:t>
      </w:r>
      <w:proofErr w:type="gramStart"/>
      <w:r>
        <w:rPr>
          <w:rFonts w:ascii="仿宋_GB2312" w:eastAsia="仿宋_GB2312" w:hint="eastAsia"/>
          <w:kern w:val="0"/>
          <w:sz w:val="28"/>
          <w:szCs w:val="28"/>
        </w:rPr>
        <w:t>承担市药监</w:t>
      </w:r>
      <w:proofErr w:type="gramEnd"/>
      <w:r>
        <w:rPr>
          <w:rFonts w:ascii="仿宋_GB2312" w:eastAsia="仿宋_GB2312" w:hint="eastAsia"/>
          <w:kern w:val="0"/>
          <w:sz w:val="28"/>
          <w:szCs w:val="28"/>
        </w:rPr>
        <w:t>局新闻宣传等事务性工作。</w:t>
      </w:r>
    </w:p>
    <w:p w:rsidR="00190EDE" w:rsidRDefault="00772BB2">
      <w:pPr>
        <w:pStyle w:val="a3"/>
        <w:spacing w:line="560" w:lineRule="exact"/>
        <w:ind w:firstLine="560"/>
        <w:rPr>
          <w:rFonts w:ascii="仿宋_GB2312" w:eastAsia="仿宋_GB2312"/>
          <w:sz w:val="28"/>
          <w:szCs w:val="28"/>
        </w:rPr>
      </w:pPr>
      <w:r>
        <w:rPr>
          <w:rFonts w:ascii="仿宋_GB2312" w:eastAsia="仿宋_GB2312" w:hint="eastAsia"/>
          <w:sz w:val="28"/>
          <w:szCs w:val="28"/>
        </w:rPr>
        <w:t>根据上述职责，北京市药品监督管理局投诉举报中心设置</w:t>
      </w:r>
      <w:r>
        <w:rPr>
          <w:rFonts w:ascii="仿宋_GB2312" w:eastAsia="仿宋_GB2312" w:hint="eastAsia"/>
          <w:sz w:val="28"/>
          <w:szCs w:val="28"/>
        </w:rPr>
        <w:t>3</w:t>
      </w:r>
      <w:r>
        <w:rPr>
          <w:rFonts w:ascii="仿宋_GB2312" w:eastAsia="仿宋_GB2312" w:hint="eastAsia"/>
          <w:sz w:val="28"/>
          <w:szCs w:val="28"/>
        </w:rPr>
        <w:t>个内设机构：综合科、业务科、宣传科。</w:t>
      </w:r>
    </w:p>
    <w:p w:rsidR="00190EDE" w:rsidRDefault="00772BB2">
      <w:pPr>
        <w:pStyle w:val="a3"/>
        <w:spacing w:line="560" w:lineRule="exact"/>
        <w:ind w:firstLine="560"/>
      </w:pPr>
      <w:r>
        <w:rPr>
          <w:rFonts w:ascii="仿宋_GB2312" w:eastAsia="仿宋_GB2312" w:hint="eastAsia"/>
          <w:kern w:val="0"/>
          <w:sz w:val="28"/>
          <w:szCs w:val="28"/>
        </w:rPr>
        <w:t>北京市药品监督管理局投诉举报中心无下属单位。</w:t>
      </w:r>
    </w:p>
    <w:p w:rsidR="00190EDE" w:rsidRDefault="00772BB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190EDE" w:rsidRDefault="00772BB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1159.62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43.09</w:t>
      </w:r>
      <w:r>
        <w:rPr>
          <w:rFonts w:ascii="仿宋_GB2312" w:eastAsia="仿宋_GB2312" w:hint="eastAsia"/>
          <w:sz w:val="28"/>
          <w:szCs w:val="28"/>
        </w:rPr>
        <w:t>万元，增长</w:t>
      </w:r>
      <w:r>
        <w:rPr>
          <w:rFonts w:ascii="仿宋_GB2312" w:eastAsia="仿宋_GB2312" w:hint="eastAsia"/>
          <w:sz w:val="28"/>
          <w:szCs w:val="28"/>
        </w:rPr>
        <w:t>3.86</w:t>
      </w:r>
      <w:r>
        <w:rPr>
          <w:rFonts w:ascii="仿宋_GB2312" w:eastAsia="仿宋_GB2312" w:hint="eastAsia"/>
          <w:sz w:val="28"/>
          <w:szCs w:val="28"/>
        </w:rPr>
        <w:t>%</w:t>
      </w:r>
      <w:r>
        <w:rPr>
          <w:rFonts w:ascii="仿宋_GB2312" w:eastAsia="仿宋_GB2312" w:hint="eastAsia"/>
          <w:sz w:val="28"/>
          <w:szCs w:val="28"/>
        </w:rPr>
        <w:t>。</w:t>
      </w:r>
    </w:p>
    <w:p w:rsidR="00190EDE" w:rsidRDefault="00772BB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90EDE" w:rsidRDefault="00772BB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1111.09</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18.58</w:t>
      </w:r>
      <w:r>
        <w:rPr>
          <w:rFonts w:ascii="仿宋_GB2312" w:eastAsia="仿宋_GB2312" w:hint="eastAsia"/>
          <w:sz w:val="28"/>
          <w:szCs w:val="28"/>
        </w:rPr>
        <w:t>万元，增长</w:t>
      </w:r>
      <w:r>
        <w:rPr>
          <w:rFonts w:ascii="仿宋_GB2312" w:eastAsia="仿宋_GB2312" w:hint="eastAsia"/>
          <w:sz w:val="28"/>
          <w:szCs w:val="28"/>
        </w:rPr>
        <w:t>1.70</w:t>
      </w:r>
      <w:r>
        <w:rPr>
          <w:rFonts w:ascii="仿宋_GB2312" w:eastAsia="仿宋_GB2312" w:hint="eastAsia"/>
          <w:sz w:val="28"/>
          <w:szCs w:val="28"/>
        </w:rPr>
        <w:t>%</w:t>
      </w:r>
      <w:r>
        <w:rPr>
          <w:rFonts w:ascii="仿宋_GB2312" w:eastAsia="仿宋_GB2312" w:hint="eastAsia"/>
          <w:sz w:val="28"/>
          <w:szCs w:val="28"/>
        </w:rPr>
        <w:t>。</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1111.09</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1111.09</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190EDE" w:rsidRDefault="00772BB2">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190EDE" w:rsidRDefault="00772BB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0EDE" w:rsidRDefault="00772BB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90EDE" w:rsidRDefault="00772BB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1074.08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9.76</w:t>
      </w:r>
      <w:r>
        <w:rPr>
          <w:rFonts w:ascii="仿宋_GB2312" w:eastAsia="仿宋_GB2312" w:hint="eastAsia"/>
          <w:sz w:val="28"/>
          <w:szCs w:val="28"/>
        </w:rPr>
        <w:t>万元，增长</w:t>
      </w:r>
      <w:r>
        <w:rPr>
          <w:rFonts w:ascii="仿宋_GB2312" w:eastAsia="仿宋_GB2312" w:hint="eastAsia"/>
          <w:sz w:val="28"/>
          <w:szCs w:val="28"/>
        </w:rPr>
        <w:t>0.92</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675.79</w:t>
      </w:r>
      <w:r>
        <w:rPr>
          <w:rFonts w:ascii="仿宋_GB2312" w:eastAsia="仿宋_GB2312" w:hint="eastAsia"/>
          <w:sz w:val="28"/>
          <w:szCs w:val="28"/>
        </w:rPr>
        <w:t>万元，占支出合计的</w:t>
      </w:r>
      <w:r>
        <w:rPr>
          <w:rFonts w:ascii="仿宋_GB2312" w:eastAsia="仿宋_GB2312" w:hint="eastAsia"/>
          <w:sz w:val="28"/>
          <w:szCs w:val="28"/>
        </w:rPr>
        <w:t>62.92</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398.28</w:t>
      </w:r>
      <w:r>
        <w:rPr>
          <w:rFonts w:ascii="仿宋_GB2312" w:eastAsia="仿宋_GB2312" w:hint="eastAsia"/>
          <w:sz w:val="28"/>
          <w:szCs w:val="28"/>
        </w:rPr>
        <w:t>万元，占支出合计的</w:t>
      </w:r>
      <w:r>
        <w:rPr>
          <w:rFonts w:ascii="仿宋_GB2312" w:eastAsia="仿宋_GB2312" w:hint="eastAsia"/>
          <w:sz w:val="28"/>
          <w:szCs w:val="28"/>
        </w:rPr>
        <w:t>37.08</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190EDE" w:rsidRDefault="00772BB2">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190EDE" w:rsidRDefault="00772BB2">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0EDE" w:rsidRDefault="00772BB2" w:rsidP="00E41E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90EDE" w:rsidRDefault="00772BB2" w:rsidP="00E41E87">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1159.62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43.09</w:t>
      </w:r>
      <w:r>
        <w:rPr>
          <w:rFonts w:ascii="仿宋_GB2312" w:eastAsia="仿宋_GB2312" w:hint="eastAsia"/>
          <w:sz w:val="28"/>
          <w:szCs w:val="28"/>
        </w:rPr>
        <w:t>万元，增长</w:t>
      </w:r>
      <w:r>
        <w:rPr>
          <w:rFonts w:ascii="仿宋_GB2312" w:eastAsia="仿宋_GB2312" w:hint="eastAsia"/>
          <w:sz w:val="28"/>
          <w:szCs w:val="28"/>
        </w:rPr>
        <w:t>3.86</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正常人员保险基数调整</w:t>
      </w:r>
      <w:r>
        <w:rPr>
          <w:rFonts w:ascii="仿宋_GB2312" w:eastAsia="仿宋_GB2312" w:hint="eastAsia"/>
          <w:sz w:val="28"/>
          <w:szCs w:val="28"/>
        </w:rPr>
        <w:t>等。</w:t>
      </w:r>
    </w:p>
    <w:p w:rsidR="00190EDE" w:rsidRDefault="00772BB2" w:rsidP="00E41E87">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190EDE" w:rsidRDefault="00772BB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190EDE" w:rsidRDefault="00772BB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1074.08</w:t>
      </w:r>
      <w:r>
        <w:rPr>
          <w:rFonts w:ascii="仿宋_GB2312" w:eastAsia="仿宋_GB2312" w:hint="eastAsia"/>
          <w:sz w:val="28"/>
          <w:szCs w:val="28"/>
        </w:rPr>
        <w:t>万元，主要用于以下方面：一般公共服务支出</w:t>
      </w:r>
      <w:r>
        <w:rPr>
          <w:rFonts w:ascii="仿宋_GB2312" w:eastAsia="仿宋_GB2312" w:hint="eastAsia"/>
          <w:sz w:val="28"/>
          <w:szCs w:val="28"/>
        </w:rPr>
        <w:t>952.04</w:t>
      </w:r>
      <w:r>
        <w:rPr>
          <w:rFonts w:ascii="仿宋_GB2312" w:eastAsia="仿宋_GB2312" w:hint="eastAsia"/>
          <w:sz w:val="28"/>
          <w:szCs w:val="28"/>
        </w:rPr>
        <w:t>万元，占本年财政拨款支出</w:t>
      </w:r>
      <w:r>
        <w:rPr>
          <w:rFonts w:ascii="仿宋_GB2312" w:eastAsia="仿宋_GB2312" w:hint="eastAsia"/>
          <w:sz w:val="28"/>
          <w:szCs w:val="28"/>
        </w:rPr>
        <w:t>88.64</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72.36</w:t>
      </w:r>
      <w:r>
        <w:rPr>
          <w:rFonts w:ascii="仿宋_GB2312" w:eastAsia="仿宋_GB2312" w:hint="eastAsia"/>
          <w:sz w:val="28"/>
          <w:szCs w:val="28"/>
        </w:rPr>
        <w:t>万元，占本年财政拨款支出</w:t>
      </w:r>
      <w:r>
        <w:rPr>
          <w:rFonts w:ascii="仿宋_GB2312" w:eastAsia="仿宋_GB2312" w:hint="eastAsia"/>
          <w:sz w:val="28"/>
          <w:szCs w:val="28"/>
        </w:rPr>
        <w:t>6.</w:t>
      </w:r>
      <w:r>
        <w:rPr>
          <w:rFonts w:ascii="仿宋_GB2312" w:eastAsia="仿宋_GB2312" w:hint="eastAsia"/>
          <w:sz w:val="28"/>
          <w:szCs w:val="28"/>
        </w:rPr>
        <w:t>74</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49.68</w:t>
      </w:r>
      <w:r>
        <w:rPr>
          <w:rFonts w:ascii="仿宋_GB2312" w:eastAsia="仿宋_GB2312" w:hint="eastAsia"/>
          <w:sz w:val="28"/>
          <w:szCs w:val="28"/>
        </w:rPr>
        <w:t>万元，占本</w:t>
      </w:r>
      <w:r>
        <w:rPr>
          <w:rFonts w:ascii="仿宋_GB2312" w:eastAsia="仿宋_GB2312" w:hint="eastAsia"/>
          <w:sz w:val="28"/>
          <w:szCs w:val="28"/>
        </w:rPr>
        <w:lastRenderedPageBreak/>
        <w:t>年财政拨款支出</w:t>
      </w:r>
      <w:r>
        <w:rPr>
          <w:rFonts w:ascii="仿宋_GB2312" w:eastAsia="仿宋_GB2312" w:hint="eastAsia"/>
          <w:sz w:val="28"/>
          <w:szCs w:val="28"/>
        </w:rPr>
        <w:t>4.</w:t>
      </w:r>
      <w:r>
        <w:rPr>
          <w:rFonts w:ascii="仿宋_GB2312" w:eastAsia="仿宋_GB2312" w:hint="eastAsia"/>
          <w:sz w:val="28"/>
          <w:szCs w:val="28"/>
        </w:rPr>
        <w:t>63</w:t>
      </w:r>
      <w:r>
        <w:rPr>
          <w:rFonts w:ascii="仿宋_GB2312" w:eastAsia="仿宋_GB2312" w:hint="eastAsia"/>
          <w:sz w:val="28"/>
          <w:szCs w:val="28"/>
        </w:rPr>
        <w:t>%</w:t>
      </w:r>
      <w:r>
        <w:rPr>
          <w:rFonts w:ascii="仿宋_GB2312" w:eastAsia="仿宋_GB2312" w:hint="eastAsia"/>
          <w:sz w:val="28"/>
          <w:szCs w:val="28"/>
        </w:rPr>
        <w:t>。</w:t>
      </w:r>
    </w:p>
    <w:p w:rsidR="00190EDE" w:rsidRDefault="00772BB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90EDE" w:rsidRDefault="00772BB2" w:rsidP="004B0EC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979.96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952.04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97.15</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190EDE" w:rsidRDefault="00772BB2">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979.96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952.04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97.15</w:t>
      </w:r>
      <w:r>
        <w:rPr>
          <w:rFonts w:ascii="仿宋_GB2312" w:eastAsia="仿宋_GB2312" w:hint="eastAsia"/>
          <w:sz w:val="28"/>
          <w:szCs w:val="28"/>
        </w:rPr>
        <w:t>%</w:t>
      </w:r>
      <w:r>
        <w:rPr>
          <w:rFonts w:ascii="仿宋_GB2312" w:eastAsia="仿宋_GB2312" w:hint="eastAsia"/>
          <w:sz w:val="28"/>
          <w:szCs w:val="28"/>
        </w:rPr>
        <w:t>。主要原因：严格落实过</w:t>
      </w:r>
      <w:r>
        <w:rPr>
          <w:rFonts w:ascii="仿宋_GB2312" w:eastAsia="仿宋_GB2312" w:hint="eastAsia"/>
          <w:sz w:val="28"/>
          <w:szCs w:val="28"/>
        </w:rPr>
        <w:t>“</w:t>
      </w:r>
      <w:r>
        <w:rPr>
          <w:rFonts w:ascii="仿宋_GB2312" w:eastAsia="仿宋_GB2312" w:hint="eastAsia"/>
          <w:sz w:val="28"/>
          <w:szCs w:val="28"/>
        </w:rPr>
        <w:t>紧日子</w:t>
      </w:r>
      <w:r>
        <w:rPr>
          <w:rFonts w:ascii="仿宋_GB2312" w:eastAsia="仿宋_GB2312" w:hint="eastAsia"/>
          <w:sz w:val="28"/>
          <w:szCs w:val="28"/>
        </w:rPr>
        <w:t>”</w:t>
      </w:r>
      <w:r>
        <w:rPr>
          <w:rFonts w:ascii="仿宋_GB2312" w:eastAsia="仿宋_GB2312" w:hint="eastAsia"/>
          <w:sz w:val="28"/>
          <w:szCs w:val="28"/>
        </w:rPr>
        <w:t>要求，压减一般性支出。</w:t>
      </w:r>
    </w:p>
    <w:p w:rsidR="00190EDE" w:rsidRDefault="00772BB2" w:rsidP="004B0EC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77.46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72.36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93.42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190EDE" w:rsidRDefault="00772BB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“行政事业单位养老支出”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77.46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72.36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93.42</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人员变动</w:t>
      </w:r>
      <w:r>
        <w:rPr>
          <w:rFonts w:ascii="仿宋_GB2312" w:eastAsia="仿宋_GB2312" w:hint="eastAsia"/>
          <w:sz w:val="28"/>
          <w:szCs w:val="28"/>
        </w:rPr>
        <w:t>。</w:t>
      </w:r>
    </w:p>
    <w:p w:rsidR="00190EDE" w:rsidRDefault="00772BB2" w:rsidP="00E416E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54.78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49.68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90.69</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190EDE" w:rsidRDefault="00772BB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54.78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49.68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90.69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人员变动</w:t>
      </w:r>
      <w:r>
        <w:rPr>
          <w:rFonts w:ascii="仿宋_GB2312" w:eastAsia="仿宋_GB2312" w:hint="eastAsia"/>
          <w:sz w:val="28"/>
          <w:szCs w:val="28"/>
        </w:rPr>
        <w:t>。</w:t>
      </w:r>
    </w:p>
    <w:p w:rsidR="00190EDE" w:rsidRDefault="00772BB2" w:rsidP="00E41E87">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190EDE" w:rsidRDefault="00772BB2">
      <w:pPr>
        <w:spacing w:line="56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190EDE" w:rsidRDefault="00772BB2" w:rsidP="00E41E87">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190EDE" w:rsidRDefault="00772BB2">
      <w:pPr>
        <w:spacing w:line="560" w:lineRule="exact"/>
        <w:ind w:firstLineChars="200" w:firstLine="560"/>
        <w:rPr>
          <w:rFonts w:ascii="仿宋_GB2312" w:eastAsia="仿宋_GB2312"/>
          <w:sz w:val="28"/>
          <w:szCs w:val="28"/>
        </w:rPr>
      </w:pPr>
      <w:r>
        <w:rPr>
          <w:rFonts w:ascii="仿宋_GB2312" w:eastAsia="仿宋_GB2312" w:hint="eastAsia"/>
          <w:sz w:val="28"/>
          <w:szCs w:val="28"/>
        </w:rPr>
        <w:t>本年度无此项经费。</w:t>
      </w:r>
    </w:p>
    <w:p w:rsidR="00190EDE" w:rsidRDefault="00772BB2" w:rsidP="00E41E87">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190EDE" w:rsidRDefault="00772BB2" w:rsidP="00E41E8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675.79</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w:t>
      </w:r>
      <w:r>
        <w:rPr>
          <w:rFonts w:ascii="仿宋_GB2312" w:eastAsia="仿宋_GB2312"/>
          <w:sz w:val="28"/>
          <w:szCs w:val="28"/>
        </w:rPr>
        <w:t>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190EDE" w:rsidRDefault="00772BB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190EDE" w:rsidRDefault="00772BB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190EDE" w:rsidRDefault="00772BB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90EDE" w:rsidRDefault="00772BB2" w:rsidP="00E41E87">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本单位</w:t>
      </w:r>
      <w:r>
        <w:rPr>
          <w:rFonts w:ascii="仿宋_GB2312" w:eastAsia="仿宋_GB2312" w:hint="eastAsia"/>
          <w:sz w:val="28"/>
          <w:szCs w:val="28"/>
        </w:rPr>
        <w:t>无</w:t>
      </w:r>
      <w:r w:rsidR="00E80FDF">
        <w:rPr>
          <w:rFonts w:ascii="仿宋_GB2312" w:eastAsia="仿宋_GB2312" w:hint="eastAsia"/>
          <w:sz w:val="28"/>
          <w:szCs w:val="28"/>
        </w:rPr>
        <w:t>“</w:t>
      </w:r>
      <w:r w:rsidR="00E80FDF">
        <w:rPr>
          <w:rFonts w:ascii="仿宋_GB2312" w:eastAsia="仿宋_GB2312" w:hint="eastAsia"/>
          <w:sz w:val="28"/>
          <w:szCs w:val="28"/>
        </w:rPr>
        <w:t>三公</w:t>
      </w:r>
      <w:r w:rsidR="00E80FDF">
        <w:rPr>
          <w:rFonts w:ascii="仿宋_GB2312" w:eastAsia="仿宋_GB2312" w:hint="eastAsia"/>
          <w:sz w:val="28"/>
          <w:szCs w:val="28"/>
        </w:rPr>
        <w:t>”</w:t>
      </w:r>
      <w:r>
        <w:rPr>
          <w:rFonts w:ascii="仿宋_GB2312" w:eastAsia="仿宋_GB2312" w:hint="eastAsia"/>
          <w:sz w:val="28"/>
          <w:szCs w:val="28"/>
        </w:rPr>
        <w:t>经费</w:t>
      </w:r>
      <w:r>
        <w:rPr>
          <w:rFonts w:ascii="仿宋_GB2312" w:eastAsia="仿宋_GB2312" w:hint="eastAsia"/>
          <w:sz w:val="28"/>
          <w:szCs w:val="28"/>
        </w:rPr>
        <w:t>支出</w:t>
      </w:r>
      <w:r>
        <w:rPr>
          <w:rFonts w:ascii="仿宋_GB2312" w:eastAsia="仿宋_GB2312" w:hint="eastAsia"/>
          <w:sz w:val="28"/>
          <w:szCs w:val="28"/>
        </w:rPr>
        <w:t>。</w:t>
      </w:r>
    </w:p>
    <w:p w:rsidR="00190EDE" w:rsidRDefault="00772BB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90EDE" w:rsidRDefault="00772BB2">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本单位不在机关运行经费统计范围之内。</w:t>
      </w:r>
    </w:p>
    <w:p w:rsidR="00190EDE" w:rsidRDefault="00772BB2">
      <w:pPr>
        <w:ind w:left="540"/>
        <w:rPr>
          <w:rFonts w:ascii="黑体" w:eastAsia="黑体"/>
          <w:sz w:val="28"/>
          <w:szCs w:val="28"/>
        </w:rPr>
      </w:pPr>
      <w:r>
        <w:rPr>
          <w:rFonts w:ascii="黑体" w:eastAsia="黑体" w:hint="eastAsia"/>
          <w:sz w:val="28"/>
          <w:szCs w:val="28"/>
        </w:rPr>
        <w:t>三、政府采购支出情况</w:t>
      </w:r>
    </w:p>
    <w:p w:rsidR="00190EDE" w:rsidRDefault="00772BB2" w:rsidP="00E41E8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303.96</w:t>
      </w:r>
      <w:r>
        <w:rPr>
          <w:rFonts w:ascii="仿宋_GB2312" w:eastAsia="仿宋_GB2312" w:hint="eastAsia"/>
          <w:sz w:val="28"/>
          <w:szCs w:val="28"/>
        </w:rPr>
        <w:t>万元，其中：政府采购货物支出</w:t>
      </w:r>
      <w:r>
        <w:rPr>
          <w:rFonts w:ascii="仿宋_GB2312" w:eastAsia="仿宋_GB2312"/>
          <w:sz w:val="28"/>
          <w:szCs w:val="28"/>
        </w:rPr>
        <w:t>0.2</w:t>
      </w:r>
      <w:r w:rsidR="00A67C1A">
        <w:rPr>
          <w:rFonts w:ascii="仿宋_GB2312" w:eastAsia="仿宋_GB2312" w:hint="eastAsia"/>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303.77</w:t>
      </w:r>
      <w:r>
        <w:rPr>
          <w:rFonts w:ascii="仿宋_GB2312" w:eastAsia="仿宋_GB2312" w:hint="eastAsia"/>
          <w:sz w:val="28"/>
          <w:szCs w:val="28"/>
        </w:rPr>
        <w:t>万元。授予中小企业合同金额</w:t>
      </w:r>
      <w:r>
        <w:rPr>
          <w:rFonts w:ascii="仿宋_GB2312" w:eastAsia="仿宋_GB2312"/>
          <w:sz w:val="28"/>
          <w:szCs w:val="28"/>
        </w:rPr>
        <w:t>0.65</w:t>
      </w:r>
      <w:r>
        <w:rPr>
          <w:rFonts w:ascii="仿宋_GB2312" w:eastAsia="仿宋_GB2312" w:hint="eastAsia"/>
          <w:sz w:val="28"/>
          <w:szCs w:val="28"/>
        </w:rPr>
        <w:t>万元，占政府采购支出总额的</w:t>
      </w:r>
      <w:r>
        <w:rPr>
          <w:rFonts w:ascii="仿宋_GB2312" w:eastAsia="仿宋_GB2312" w:hint="eastAsia"/>
          <w:sz w:val="28"/>
          <w:szCs w:val="28"/>
        </w:rPr>
        <w:t>0.21</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w:t>
      </w:r>
      <w:r>
        <w:rPr>
          <w:rFonts w:ascii="仿宋_GB2312" w:eastAsia="仿宋_GB2312" w:hint="eastAsia"/>
          <w:sz w:val="28"/>
          <w:szCs w:val="28"/>
        </w:rPr>
        <w:lastRenderedPageBreak/>
        <w:t>金额</w:t>
      </w:r>
      <w:r>
        <w:rPr>
          <w:rFonts w:ascii="仿宋_GB2312" w:eastAsia="仿宋_GB2312"/>
          <w:sz w:val="28"/>
          <w:szCs w:val="28"/>
        </w:rPr>
        <w:t>0.65</w:t>
      </w:r>
      <w:r>
        <w:rPr>
          <w:rFonts w:ascii="仿宋_GB2312" w:eastAsia="仿宋_GB2312" w:hint="eastAsia"/>
          <w:sz w:val="28"/>
          <w:szCs w:val="28"/>
        </w:rPr>
        <w:t>万元，占政府采购支出总额的</w:t>
      </w:r>
      <w:r>
        <w:rPr>
          <w:rFonts w:ascii="仿宋_GB2312" w:eastAsia="仿宋_GB2312"/>
          <w:sz w:val="28"/>
          <w:szCs w:val="28"/>
        </w:rPr>
        <w:t>0.21</w:t>
      </w:r>
      <w:r>
        <w:rPr>
          <w:rFonts w:ascii="仿宋_GB2312" w:eastAsia="仿宋_GB2312" w:hint="eastAsia"/>
          <w:sz w:val="28"/>
          <w:szCs w:val="28"/>
        </w:rPr>
        <w:t>%</w:t>
      </w:r>
      <w:r>
        <w:rPr>
          <w:rFonts w:ascii="仿宋_GB2312" w:eastAsia="仿宋_GB2312" w:hint="eastAsia"/>
          <w:sz w:val="28"/>
          <w:szCs w:val="28"/>
        </w:rPr>
        <w:t>。</w:t>
      </w:r>
    </w:p>
    <w:p w:rsidR="00190EDE" w:rsidRDefault="00772BB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90EDE" w:rsidRDefault="00772BB2">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日，北京市药品监督管理局投诉举报中心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190EDE" w:rsidRDefault="00772BB2" w:rsidP="00E41E87">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90EDE" w:rsidRDefault="00772BB2" w:rsidP="00E41E87">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190EDE" w:rsidRDefault="00772BB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w:t>
      </w:r>
      <w:r>
        <w:rPr>
          <w:rFonts w:ascii="仿宋_GB2312" w:eastAsia="仿宋_GB2312" w:hint="eastAsia"/>
          <w:sz w:val="28"/>
          <w:szCs w:val="28"/>
        </w:rPr>
        <w:t>的人员支出和公用支出。</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190EDE" w:rsidRDefault="00772BB2">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190EDE" w:rsidRDefault="00772BB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190EDE" w:rsidRDefault="00772BB2" w:rsidP="00A67C1A">
      <w:pPr>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90EDE" w:rsidRDefault="00772BB2" w:rsidP="00A67C1A">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190EDE" w:rsidRDefault="00772BB2">
      <w:pPr>
        <w:ind w:firstLineChars="200" w:firstLine="560"/>
        <w:rPr>
          <w:rFonts w:ascii="仿宋_GB2312" w:eastAsia="仿宋_GB2312" w:hAnsi="Calibri" w:cs="Calibri"/>
          <w:sz w:val="28"/>
          <w:szCs w:val="28"/>
        </w:rPr>
      </w:pPr>
      <w:r>
        <w:rPr>
          <w:rFonts w:ascii="仿宋_GB2312" w:eastAsia="仿宋_GB2312" w:hint="eastAsia"/>
          <w:sz w:val="28"/>
          <w:szCs w:val="28"/>
        </w:rPr>
        <w:t>7.</w:t>
      </w:r>
      <w:r>
        <w:rPr>
          <w:rFonts w:ascii="仿宋_GB2312" w:eastAsia="仿宋_GB2312" w:hAnsi="Calibri" w:cs="Calibri" w:hint="eastAsia"/>
          <w:sz w:val="28"/>
          <w:szCs w:val="28"/>
        </w:rPr>
        <w:t>一般公共服务支出（类）市场监督管理事务（款）事业运行（项）：反映事业单位的基本支出。</w:t>
      </w:r>
    </w:p>
    <w:p w:rsidR="00190EDE" w:rsidRDefault="00772BB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8.</w:t>
      </w:r>
      <w:r>
        <w:rPr>
          <w:rFonts w:ascii="仿宋_GB2312" w:eastAsia="仿宋_GB2312" w:hAnsi="Calibri" w:cs="Calibri" w:hint="eastAsia"/>
          <w:sz w:val="28"/>
          <w:szCs w:val="28"/>
        </w:rPr>
        <w:t>一般公共服务支出（类）市场监督管理事务（款）其他市场监督管理事务（项）：反映用于除上述项目以外其他市场监督管理事务方面的支出。</w:t>
      </w:r>
    </w:p>
    <w:p w:rsidR="00190EDE" w:rsidRDefault="00772BB2">
      <w:pPr>
        <w:pStyle w:val="a3"/>
        <w:ind w:firstLine="560"/>
      </w:pPr>
      <w:r>
        <w:rPr>
          <w:rFonts w:ascii="仿宋_GB2312" w:eastAsia="仿宋_GB2312" w:hAnsi="Calibri" w:cs="Calibri" w:hint="eastAsia"/>
          <w:sz w:val="28"/>
          <w:szCs w:val="28"/>
        </w:rPr>
        <w:t>9.</w:t>
      </w:r>
      <w:r>
        <w:rPr>
          <w:rFonts w:ascii="仿宋_GB2312" w:eastAsia="仿宋_GB2312" w:hAnsi="Calibri" w:cs="Calibri" w:hint="eastAsia"/>
          <w:sz w:val="28"/>
          <w:szCs w:val="28"/>
        </w:rPr>
        <w:t>教育支出（类）进修及培训（款）培训支出（项）：反映各部门安排的用于培训的支出。</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社会保障和就业支出（类）行政事业单位养老支出（款）事业单位离退休（项）：反映事业单位开支的离退休经费。</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社会保障和就业支出（类）行政事业单位养老支出（款）机关事业单位基本养</w:t>
      </w:r>
      <w:r>
        <w:rPr>
          <w:rFonts w:ascii="仿宋_GB2312" w:eastAsia="仿宋_GB2312" w:hint="eastAsia"/>
          <w:sz w:val="28"/>
          <w:szCs w:val="28"/>
        </w:rPr>
        <w:t>老保险缴费支出（项）：反映机关事业单位实施养老保险制度由单位缴纳的基本养老保险费支出。</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r>
        <w:rPr>
          <w:rFonts w:ascii="仿宋_GB2312" w:eastAsia="仿宋_GB2312" w:hAnsi="宋体" w:hint="eastAsia"/>
          <w:sz w:val="28"/>
          <w:szCs w:val="28"/>
          <w:lang w:val="en"/>
        </w:rPr>
        <w:t>（</w:t>
      </w:r>
      <w:proofErr w:type="gramStart"/>
      <w:r>
        <w:rPr>
          <w:rFonts w:ascii="仿宋_GB2312" w:eastAsia="仿宋_GB2312" w:hAnsi="宋体" w:hint="eastAsia"/>
          <w:sz w:val="28"/>
          <w:szCs w:val="28"/>
          <w:lang w:val="en"/>
        </w:rPr>
        <w:t>含职业</w:t>
      </w:r>
      <w:proofErr w:type="gramEnd"/>
      <w:r>
        <w:rPr>
          <w:rFonts w:ascii="仿宋_GB2312" w:eastAsia="仿宋_GB2312" w:hAnsi="宋体" w:hint="eastAsia"/>
          <w:sz w:val="28"/>
          <w:szCs w:val="28"/>
          <w:lang w:val="en"/>
        </w:rPr>
        <w:t>年金补记支出）</w:t>
      </w:r>
      <w:r>
        <w:rPr>
          <w:rFonts w:ascii="仿宋_GB2312" w:eastAsia="仿宋_GB2312" w:hint="eastAsia"/>
          <w:sz w:val="28"/>
          <w:szCs w:val="28"/>
        </w:rPr>
        <w:t>。</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13.</w:t>
      </w:r>
      <w:r>
        <w:rPr>
          <w:rFonts w:ascii="仿宋_GB2312" w:eastAsia="仿宋_GB2312" w:hint="eastAsia"/>
          <w:sz w:val="28"/>
          <w:szCs w:val="28"/>
        </w:rPr>
        <w:t>卫生健康支出（类）行政事业单位医疗（款）事业单位医疗（项）：反映财政部门安排的事业单位基本医疗保</w:t>
      </w:r>
      <w:r>
        <w:rPr>
          <w:rFonts w:ascii="仿宋_GB2312" w:eastAsia="仿宋_GB2312" w:hint="eastAsia"/>
          <w:sz w:val="28"/>
          <w:szCs w:val="28"/>
        </w:rPr>
        <w:lastRenderedPageBreak/>
        <w:t>险缴费经费，未参加医疗保险的事业单位的公费医疗经费，按国家规定享受离休人员待遇人员的医疗经费。</w:t>
      </w:r>
    </w:p>
    <w:p w:rsidR="00190EDE" w:rsidRDefault="00772BB2">
      <w:pPr>
        <w:ind w:firstLineChars="200" w:firstLine="560"/>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卫生健康支出（类）行政事业单位医疗（款）公</w:t>
      </w:r>
      <w:r>
        <w:rPr>
          <w:rFonts w:ascii="仿宋_GB2312" w:eastAsia="仿宋_GB2312" w:hint="eastAsia"/>
          <w:sz w:val="28"/>
          <w:szCs w:val="28"/>
        </w:rPr>
        <w:t>务员医疗补助（项）：反映财政部门安排的公务员医疗补助经费。</w:t>
      </w:r>
    </w:p>
    <w:p w:rsidR="00190EDE" w:rsidRDefault="00190EDE">
      <w:pPr>
        <w:rPr>
          <w:rFonts w:ascii="黑体" w:eastAsia="黑体"/>
          <w:sz w:val="32"/>
          <w:szCs w:val="32"/>
        </w:rPr>
      </w:pPr>
    </w:p>
    <w:p w:rsidR="00190EDE" w:rsidRDefault="00190EDE">
      <w:pPr>
        <w:tabs>
          <w:tab w:val="center" w:pos="6979"/>
        </w:tabs>
        <w:spacing w:line="380" w:lineRule="exact"/>
        <w:jc w:val="center"/>
        <w:rPr>
          <w:rFonts w:ascii="宋体" w:hAnsi="宋体" w:cs="宋体"/>
          <w:b/>
          <w:bCs/>
          <w:kern w:val="0"/>
          <w:sz w:val="28"/>
          <w:szCs w:val="28"/>
        </w:rPr>
      </w:pPr>
    </w:p>
    <w:p w:rsidR="00190EDE" w:rsidRDefault="00190EDE">
      <w:pPr>
        <w:tabs>
          <w:tab w:val="center" w:pos="6979"/>
        </w:tabs>
        <w:spacing w:line="380" w:lineRule="exact"/>
        <w:jc w:val="center"/>
        <w:rPr>
          <w:rFonts w:ascii="宋体" w:hAnsi="宋体" w:cs="宋体"/>
          <w:b/>
          <w:bCs/>
          <w:kern w:val="0"/>
          <w:sz w:val="28"/>
          <w:szCs w:val="28"/>
        </w:rPr>
      </w:pPr>
    </w:p>
    <w:p w:rsidR="00190EDE" w:rsidRDefault="00190EDE">
      <w:pPr>
        <w:pStyle w:val="2"/>
      </w:pPr>
    </w:p>
    <w:p w:rsidR="00190EDE" w:rsidRDefault="00190EDE">
      <w:pPr>
        <w:rPr>
          <w:rFonts w:ascii="黑体" w:eastAsia="黑体"/>
          <w:sz w:val="32"/>
          <w:szCs w:val="32"/>
        </w:rPr>
      </w:pPr>
    </w:p>
    <w:p w:rsidR="00190EDE" w:rsidRDefault="00190EDE">
      <w:pPr>
        <w:ind w:firstLineChars="200" w:firstLine="640"/>
        <w:jc w:val="center"/>
        <w:rPr>
          <w:rFonts w:ascii="黑体" w:eastAsia="黑体" w:hint="eastAsia"/>
          <w:sz w:val="32"/>
          <w:szCs w:val="32"/>
        </w:rPr>
      </w:pPr>
    </w:p>
    <w:p w:rsidR="00426F3F" w:rsidRDefault="00426F3F" w:rsidP="00426F3F">
      <w:pPr>
        <w:pStyle w:val="2"/>
        <w:rPr>
          <w:rFonts w:hint="eastAsia"/>
        </w:rPr>
      </w:pPr>
    </w:p>
    <w:p w:rsidR="00426F3F" w:rsidRDefault="00426F3F" w:rsidP="00426F3F">
      <w:pPr>
        <w:rPr>
          <w:rFonts w:hint="eastAsia"/>
        </w:rPr>
      </w:pPr>
    </w:p>
    <w:p w:rsidR="00426F3F" w:rsidRDefault="00426F3F" w:rsidP="00426F3F">
      <w:pPr>
        <w:pStyle w:val="2"/>
        <w:rPr>
          <w:rFonts w:hint="eastAsia"/>
        </w:rPr>
      </w:pPr>
    </w:p>
    <w:p w:rsidR="00426F3F" w:rsidRDefault="00426F3F" w:rsidP="00426F3F">
      <w:pPr>
        <w:rPr>
          <w:rFonts w:hint="eastAsia"/>
        </w:rPr>
      </w:pPr>
    </w:p>
    <w:p w:rsidR="00426F3F" w:rsidRPr="00426F3F" w:rsidRDefault="00426F3F" w:rsidP="00426F3F">
      <w:pPr>
        <w:pStyle w:val="2"/>
      </w:pPr>
    </w:p>
    <w:p w:rsidR="00190EDE" w:rsidRDefault="00772BB2">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190EDE" w:rsidRDefault="00772BB2">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3837" w:type="dxa"/>
        <w:tblInd w:w="93" w:type="dxa"/>
        <w:tblLook w:val="04A0" w:firstRow="1" w:lastRow="0" w:firstColumn="1" w:lastColumn="0" w:noHBand="0" w:noVBand="1"/>
      </w:tblPr>
      <w:tblGrid>
        <w:gridCol w:w="561"/>
        <w:gridCol w:w="1239"/>
        <w:gridCol w:w="1545"/>
        <w:gridCol w:w="2251"/>
        <w:gridCol w:w="1305"/>
        <w:gridCol w:w="1492"/>
        <w:gridCol w:w="1692"/>
        <w:gridCol w:w="1160"/>
        <w:gridCol w:w="1226"/>
        <w:gridCol w:w="1359"/>
        <w:gridCol w:w="7"/>
      </w:tblGrid>
      <w:tr w:rsidR="00190EDE">
        <w:trPr>
          <w:gridAfter w:val="1"/>
          <w:wAfter w:w="7" w:type="dxa"/>
          <w:trHeight w:val="420"/>
        </w:trPr>
        <w:tc>
          <w:tcPr>
            <w:tcW w:w="13830" w:type="dxa"/>
            <w:gridSpan w:val="10"/>
            <w:tcBorders>
              <w:top w:val="nil"/>
              <w:left w:val="nil"/>
              <w:bottom w:val="nil"/>
              <w:right w:val="nil"/>
            </w:tcBorders>
            <w:shd w:val="clear" w:color="auto" w:fill="auto"/>
            <w:vAlign w:val="center"/>
          </w:tcPr>
          <w:p w:rsidR="00190EDE" w:rsidRDefault="00772BB2">
            <w:pPr>
              <w:widowControl/>
              <w:jc w:val="center"/>
              <w:textAlignment w:val="center"/>
              <w:rPr>
                <w:rFonts w:ascii="宋体" w:hAnsi="宋体" w:cs="宋体"/>
                <w:b/>
                <w:color w:val="000000"/>
                <w:sz w:val="32"/>
                <w:szCs w:val="32"/>
              </w:rPr>
            </w:pPr>
            <w:r>
              <w:rPr>
                <w:rStyle w:val="font51"/>
                <w:rFonts w:hint="default"/>
                <w:lang w:bidi="ar"/>
              </w:rPr>
              <w:t>项目支出绩效自评表</w:t>
            </w:r>
            <w:r>
              <w:rPr>
                <w:rStyle w:val="font81"/>
                <w:rFonts w:hint="default"/>
                <w:lang w:bidi="ar"/>
              </w:rPr>
              <w:t xml:space="preserve"> </w:t>
            </w:r>
          </w:p>
        </w:tc>
      </w:tr>
      <w:tr w:rsidR="00190EDE">
        <w:trPr>
          <w:gridAfter w:val="1"/>
          <w:wAfter w:w="7" w:type="dxa"/>
          <w:trHeight w:val="435"/>
        </w:trPr>
        <w:tc>
          <w:tcPr>
            <w:tcW w:w="13830" w:type="dxa"/>
            <w:gridSpan w:val="10"/>
            <w:tcBorders>
              <w:top w:val="nil"/>
              <w:left w:val="nil"/>
              <w:bottom w:val="nil"/>
              <w:right w:val="nil"/>
            </w:tcBorders>
            <w:shd w:val="clear" w:color="auto" w:fill="auto"/>
            <w:vAlign w:val="center"/>
          </w:tcPr>
          <w:p w:rsidR="00190EDE" w:rsidRDefault="00772BB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190EDE" w:rsidTr="0062255B">
        <w:trPr>
          <w:gridAfter w:val="1"/>
          <w:wAfter w:w="7"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4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械”监管科普宣传经费</w:t>
            </w:r>
          </w:p>
        </w:tc>
      </w:tr>
      <w:tr w:rsidR="00190EDE" w:rsidTr="0062255B">
        <w:trPr>
          <w:gridAfter w:val="1"/>
          <w:wAfter w:w="7"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北京市药品监督管理局投诉举报中心</w:t>
            </w:r>
          </w:p>
        </w:tc>
      </w:tr>
      <w:tr w:rsidR="00190EDE" w:rsidTr="0062255B">
        <w:trPr>
          <w:gridAfter w:val="1"/>
          <w:wAfter w:w="7" w:type="dxa"/>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曾玥</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55527262</w:t>
            </w:r>
          </w:p>
        </w:tc>
      </w:tr>
      <w:tr w:rsidR="00190EDE" w:rsidTr="0062255B">
        <w:trPr>
          <w:gridAfter w:val="1"/>
          <w:wAfter w:w="7" w:type="dxa"/>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90EDE" w:rsidTr="0062255B">
        <w:trPr>
          <w:gridAfter w:val="1"/>
          <w:wAfter w:w="7"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90EDE" w:rsidTr="0062255B">
        <w:trPr>
          <w:gridAfter w:val="1"/>
          <w:wAfter w:w="7"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58.88</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gridAfter w:val="1"/>
          <w:wAfter w:w="7"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gridAfter w:val="1"/>
          <w:wAfter w:w="7" w:type="dxa"/>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r>
      <w:tr w:rsidR="00190EDE" w:rsidTr="0062255B">
        <w:trPr>
          <w:gridAfter w:val="1"/>
          <w:wAfter w:w="7" w:type="dxa"/>
          <w:trHeight w:val="435"/>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90EDE" w:rsidTr="0062255B">
        <w:trPr>
          <w:gridAfter w:val="1"/>
          <w:wAfter w:w="7" w:type="dxa"/>
          <w:trHeight w:val="133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78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结合化妆品宣传周、医疗器械宣传周、安全用药月等科普宣传活动，制作短视频、</w:t>
            </w:r>
            <w:r>
              <w:rPr>
                <w:rFonts w:ascii="宋体" w:hAnsi="宋体" w:cs="宋体" w:hint="eastAsia"/>
                <w:color w:val="000000"/>
                <w:kern w:val="0"/>
                <w:sz w:val="20"/>
                <w:szCs w:val="20"/>
                <w:lang w:bidi="ar"/>
              </w:rPr>
              <w:t>H5</w:t>
            </w:r>
            <w:r>
              <w:rPr>
                <w:rFonts w:ascii="宋体" w:hAnsi="宋体" w:cs="宋体" w:hint="eastAsia"/>
                <w:color w:val="000000"/>
                <w:kern w:val="0"/>
                <w:sz w:val="20"/>
                <w:szCs w:val="20"/>
                <w:lang w:bidi="ar"/>
              </w:rPr>
              <w:t>等科普宣传作品，提升公众安全用药意识，营造良好的宣传氛围。</w:t>
            </w:r>
          </w:p>
        </w:tc>
        <w:tc>
          <w:tcPr>
            <w:tcW w:w="54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结合药品安全宣传周等科普宣传活动，制作短视频、</w:t>
            </w:r>
            <w:r>
              <w:rPr>
                <w:rFonts w:ascii="宋体" w:hAnsi="宋体" w:cs="宋体" w:hint="eastAsia"/>
                <w:color w:val="000000"/>
                <w:kern w:val="0"/>
                <w:sz w:val="20"/>
                <w:szCs w:val="20"/>
                <w:lang w:bidi="ar"/>
              </w:rPr>
              <w:t>H5</w:t>
            </w:r>
            <w:r>
              <w:rPr>
                <w:rFonts w:ascii="宋体" w:hAnsi="宋体" w:cs="宋体" w:hint="eastAsia"/>
                <w:color w:val="000000"/>
                <w:kern w:val="0"/>
                <w:sz w:val="20"/>
                <w:szCs w:val="20"/>
                <w:lang w:bidi="ar"/>
              </w:rPr>
              <w:t>等科普宣传作品，提升公众安全用药意识，营造良好的宣传氛围。</w:t>
            </w:r>
          </w:p>
        </w:tc>
      </w:tr>
      <w:tr w:rsidR="00190EDE" w:rsidTr="0062255B">
        <w:trPr>
          <w:gridAfter w:val="1"/>
          <w:wAfter w:w="7" w:type="dxa"/>
          <w:trHeight w:val="810"/>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90EDE" w:rsidTr="0062255B">
        <w:trPr>
          <w:gridAfter w:val="1"/>
          <w:wAfter w:w="7" w:type="dxa"/>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制作图解海报</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制作短视频</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r>
              <w:rPr>
                <w:rFonts w:ascii="宋体" w:hAnsi="宋体" w:cs="宋体" w:hint="eastAsia"/>
                <w:color w:val="000000"/>
                <w:kern w:val="0"/>
                <w:sz w:val="20"/>
                <w:szCs w:val="20"/>
                <w:lang w:bidi="ar"/>
              </w:rPr>
              <w:t>个</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科普宣传作品审核通过率</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科普宣传业务保障期</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81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H5</w:t>
            </w:r>
            <w:r>
              <w:rPr>
                <w:rFonts w:ascii="宋体" w:hAnsi="宋体" w:cs="宋体" w:hint="eastAsia"/>
                <w:color w:val="000000"/>
                <w:kern w:val="0"/>
                <w:sz w:val="20"/>
                <w:szCs w:val="20"/>
                <w:lang w:bidi="ar"/>
              </w:rPr>
              <w:t>制作成本</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w:t>
            </w:r>
            <w:r>
              <w:rPr>
                <w:rFonts w:ascii="宋体" w:hAnsi="宋体" w:cs="宋体" w:hint="eastAsia"/>
                <w:color w:val="000000"/>
                <w:kern w:val="0"/>
                <w:sz w:val="20"/>
                <w:szCs w:val="20"/>
                <w:lang w:bidi="ar"/>
              </w:rPr>
              <w:t>万元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3.7</w:t>
            </w:r>
            <w:r>
              <w:rPr>
                <w:rFonts w:ascii="宋体" w:hAnsi="宋体" w:cs="宋体" w:hint="eastAsia"/>
                <w:color w:val="000000"/>
                <w:kern w:val="0"/>
                <w:sz w:val="20"/>
                <w:szCs w:val="20"/>
                <w:lang w:bidi="ar"/>
              </w:rPr>
              <w:t>万元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804"/>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短视频制作成本</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6.114</w:t>
            </w:r>
            <w:r>
              <w:rPr>
                <w:rFonts w:ascii="宋体" w:hAnsi="宋体" w:cs="宋体" w:hint="eastAsia"/>
                <w:color w:val="000000"/>
                <w:kern w:val="0"/>
                <w:sz w:val="20"/>
                <w:szCs w:val="20"/>
                <w:lang w:bidi="ar"/>
              </w:rPr>
              <w:t>万元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4.585</w:t>
            </w:r>
            <w:r>
              <w:rPr>
                <w:rFonts w:ascii="宋体" w:hAnsi="宋体" w:cs="宋体" w:hint="eastAsia"/>
                <w:color w:val="000000"/>
                <w:kern w:val="0"/>
                <w:sz w:val="20"/>
                <w:szCs w:val="20"/>
                <w:lang w:bidi="ar"/>
              </w:rPr>
              <w:t>万元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1524"/>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公众安全用药意识</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得到提升</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通过通俗易懂地形式宣传安全用药</w:t>
            </w:r>
            <w:proofErr w:type="gramStart"/>
            <w:r>
              <w:rPr>
                <w:rFonts w:ascii="宋体" w:hAnsi="宋体" w:cs="宋体" w:hint="eastAsia"/>
                <w:color w:val="000000"/>
                <w:kern w:val="0"/>
                <w:sz w:val="20"/>
                <w:szCs w:val="20"/>
                <w:lang w:bidi="ar"/>
              </w:rPr>
              <w:t>用械用妆科学</w:t>
            </w:r>
            <w:proofErr w:type="gramEnd"/>
            <w:r>
              <w:rPr>
                <w:rFonts w:ascii="宋体" w:hAnsi="宋体" w:cs="宋体" w:hint="eastAsia"/>
                <w:color w:val="000000"/>
                <w:kern w:val="0"/>
                <w:sz w:val="20"/>
                <w:szCs w:val="20"/>
                <w:lang w:bidi="ar"/>
              </w:rPr>
              <w:t>知识，提高公众药品安全科学素养。</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6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宣传对象满意度</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gridAfter w:val="1"/>
          <w:wAfter w:w="7" w:type="dxa"/>
          <w:trHeight w:val="402"/>
        </w:trPr>
        <w:tc>
          <w:tcPr>
            <w:tcW w:w="100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b/>
                <w:color w:val="000000"/>
                <w:sz w:val="20"/>
                <w:szCs w:val="20"/>
              </w:rPr>
            </w:pPr>
          </w:p>
        </w:tc>
      </w:tr>
      <w:tr w:rsidR="00190EDE">
        <w:trPr>
          <w:gridAfter w:val="1"/>
          <w:wAfter w:w="7" w:type="dxa"/>
          <w:trHeight w:val="3030"/>
        </w:trPr>
        <w:tc>
          <w:tcPr>
            <w:tcW w:w="13830" w:type="dxa"/>
            <w:gridSpan w:val="10"/>
            <w:tcBorders>
              <w:top w:val="nil"/>
              <w:left w:val="nil"/>
              <w:bottom w:val="nil"/>
              <w:right w:val="nil"/>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Style w:val="font71"/>
                <w:rFonts w:hint="default"/>
                <w:lang w:bidi="ar"/>
              </w:rPr>
              <w:lastRenderedPageBreak/>
              <w:t>1.</w:t>
            </w:r>
            <w:r>
              <w:rPr>
                <w:rStyle w:val="font71"/>
                <w:rFonts w:hint="default"/>
                <w:lang w:bidi="ar"/>
              </w:rPr>
              <w:t>得分一档最高不能超过该指标分值上限。</w:t>
            </w:r>
            <w:r>
              <w:rPr>
                <w:rStyle w:val="font71"/>
                <w:rFonts w:hint="default"/>
                <w:lang w:bidi="ar"/>
              </w:rPr>
              <w:br/>
            </w:r>
            <w:r>
              <w:rPr>
                <w:rStyle w:val="font71"/>
                <w:rFonts w:hint="default"/>
                <w:lang w:bidi="ar"/>
              </w:rPr>
              <w:t>2.</w:t>
            </w:r>
            <w:r>
              <w:rPr>
                <w:rStyle w:val="font71"/>
                <w:rFonts w:hint="default"/>
                <w:lang w:bidi="ar"/>
              </w:rPr>
              <w:t>定量指标若为正向指标，则得分计算方法应用全年实际值（</w:t>
            </w:r>
            <w:r>
              <w:rPr>
                <w:rStyle w:val="font71"/>
                <w:rFonts w:hint="default"/>
                <w:lang w:bidi="ar"/>
              </w:rPr>
              <w:t>B</w:t>
            </w:r>
            <w:r>
              <w:rPr>
                <w:rStyle w:val="font71"/>
                <w:rFonts w:hint="default"/>
                <w:lang w:bidi="ar"/>
              </w:rPr>
              <w:t>）</w:t>
            </w:r>
            <w:r>
              <w:rPr>
                <w:rStyle w:val="font71"/>
                <w:rFonts w:hint="default"/>
                <w:lang w:bidi="ar"/>
              </w:rPr>
              <w:t>/</w:t>
            </w:r>
            <w:r>
              <w:rPr>
                <w:rStyle w:val="font71"/>
                <w:rFonts w:hint="default"/>
                <w:lang w:bidi="ar"/>
              </w:rPr>
              <w:t>年度指标值（</w:t>
            </w:r>
            <w:r>
              <w:rPr>
                <w:rStyle w:val="font71"/>
                <w:rFonts w:hint="default"/>
                <w:lang w:bidi="ar"/>
              </w:rPr>
              <w:t>A</w:t>
            </w:r>
            <w:r>
              <w:rPr>
                <w:rStyle w:val="font71"/>
                <w:rFonts w:hint="default"/>
                <w:lang w:bidi="ar"/>
              </w:rPr>
              <w:t>）</w:t>
            </w:r>
            <w:r>
              <w:rPr>
                <w:rStyle w:val="font71"/>
                <w:rFonts w:hint="default"/>
                <w:lang w:bidi="ar"/>
              </w:rPr>
              <w:t>*</w:t>
            </w:r>
            <w:r>
              <w:rPr>
                <w:rStyle w:val="font71"/>
                <w:rFonts w:hint="default"/>
                <w:lang w:bidi="ar"/>
              </w:rPr>
              <w:t>该指标分值；若定量指标为反向指标，则得分计算方法应用年度指标值（</w:t>
            </w:r>
            <w:r>
              <w:rPr>
                <w:rStyle w:val="font71"/>
                <w:rFonts w:hint="default"/>
                <w:lang w:bidi="ar"/>
              </w:rPr>
              <w:t>A</w:t>
            </w:r>
            <w:r>
              <w:rPr>
                <w:rStyle w:val="font71"/>
                <w:rFonts w:hint="default"/>
                <w:lang w:bidi="ar"/>
              </w:rPr>
              <w:t>）</w:t>
            </w:r>
            <w:r>
              <w:rPr>
                <w:rStyle w:val="font71"/>
                <w:rFonts w:hint="default"/>
                <w:lang w:bidi="ar"/>
              </w:rPr>
              <w:t>/</w:t>
            </w:r>
            <w:r>
              <w:rPr>
                <w:rStyle w:val="font71"/>
                <w:rFonts w:hint="default"/>
                <w:lang w:bidi="ar"/>
              </w:rPr>
              <w:t>全年实际值（</w:t>
            </w:r>
            <w:r>
              <w:rPr>
                <w:rStyle w:val="font71"/>
                <w:rFonts w:hint="default"/>
                <w:lang w:bidi="ar"/>
              </w:rPr>
              <w:t>B</w:t>
            </w:r>
            <w:r>
              <w:rPr>
                <w:rStyle w:val="font71"/>
                <w:rFonts w:hint="default"/>
                <w:lang w:bidi="ar"/>
              </w:rPr>
              <w:t>）</w:t>
            </w:r>
            <w:r>
              <w:rPr>
                <w:rStyle w:val="font71"/>
                <w:rFonts w:hint="default"/>
                <w:lang w:bidi="ar"/>
              </w:rPr>
              <w:t>*</w:t>
            </w:r>
            <w:r>
              <w:rPr>
                <w:rStyle w:val="font71"/>
                <w:rFonts w:hint="default"/>
                <w:lang w:bidi="ar"/>
              </w:rPr>
              <w:t>该指标分值。若年初指标值设定偏低，则得分计算方法应用（全年实际值（</w:t>
            </w:r>
            <w:r>
              <w:rPr>
                <w:rStyle w:val="font71"/>
                <w:rFonts w:hint="default"/>
                <w:lang w:bidi="ar"/>
              </w:rPr>
              <w:t>B</w:t>
            </w:r>
            <w:r>
              <w:rPr>
                <w:rStyle w:val="font71"/>
                <w:rFonts w:hint="default"/>
                <w:lang w:bidi="ar"/>
              </w:rPr>
              <w:t>）</w:t>
            </w:r>
            <w:r>
              <w:rPr>
                <w:rStyle w:val="font71"/>
                <w:rFonts w:hint="default"/>
                <w:lang w:bidi="ar"/>
              </w:rPr>
              <w:t>-</w:t>
            </w:r>
            <w:r>
              <w:rPr>
                <w:rStyle w:val="font71"/>
                <w:rFonts w:hint="default"/>
                <w:lang w:bidi="ar"/>
              </w:rPr>
              <w:t>年度指标值（</w:t>
            </w:r>
            <w:r>
              <w:rPr>
                <w:rStyle w:val="font71"/>
                <w:rFonts w:hint="default"/>
                <w:lang w:bidi="ar"/>
              </w:rPr>
              <w:t>A</w:t>
            </w:r>
            <w:r>
              <w:rPr>
                <w:rStyle w:val="font71"/>
                <w:rFonts w:hint="default"/>
                <w:lang w:bidi="ar"/>
              </w:rPr>
              <w:t>）</w:t>
            </w:r>
            <w:r>
              <w:rPr>
                <w:rStyle w:val="font71"/>
                <w:rFonts w:hint="default"/>
                <w:lang w:bidi="ar"/>
              </w:rPr>
              <w:t>/</w:t>
            </w:r>
            <w:r>
              <w:rPr>
                <w:rStyle w:val="font71"/>
                <w:rFonts w:hint="default"/>
                <w:lang w:bidi="ar"/>
              </w:rPr>
              <w:t>年度指标值（</w:t>
            </w:r>
            <w:r>
              <w:rPr>
                <w:rStyle w:val="font71"/>
                <w:rFonts w:hint="default"/>
                <w:lang w:bidi="ar"/>
              </w:rPr>
              <w:t>A</w:t>
            </w:r>
            <w:r>
              <w:rPr>
                <w:rStyle w:val="font71"/>
                <w:rFonts w:hint="default"/>
                <w:lang w:bidi="ar"/>
              </w:rPr>
              <w:t>）</w:t>
            </w:r>
            <w:r>
              <w:rPr>
                <w:rStyle w:val="font71"/>
                <w:rFonts w:hint="default"/>
                <w:lang w:bidi="ar"/>
              </w:rPr>
              <w:t>*100%</w:t>
            </w:r>
            <w:r>
              <w:rPr>
                <w:rStyle w:val="font71"/>
                <w:rFonts w:hint="default"/>
                <w:lang w:bidi="ar"/>
              </w:rPr>
              <w:t>。若计算结果在</w:t>
            </w:r>
            <w:r>
              <w:rPr>
                <w:rStyle w:val="font71"/>
                <w:rFonts w:hint="default"/>
                <w:lang w:bidi="ar"/>
              </w:rPr>
              <w:t>200%—300%</w:t>
            </w:r>
            <w:r>
              <w:rPr>
                <w:rStyle w:val="font71"/>
                <w:rFonts w:hint="default"/>
                <w:lang w:bidi="ar"/>
              </w:rPr>
              <w:t>（含</w:t>
            </w:r>
            <w:r>
              <w:rPr>
                <w:rStyle w:val="font71"/>
                <w:rFonts w:hint="default"/>
                <w:lang w:bidi="ar"/>
              </w:rPr>
              <w:t>200%</w:t>
            </w:r>
            <w:r>
              <w:rPr>
                <w:rStyle w:val="font71"/>
                <w:rFonts w:hint="default"/>
                <w:lang w:bidi="ar"/>
              </w:rPr>
              <w:t>）区间，则按照该指标分值的</w:t>
            </w:r>
            <w:r>
              <w:rPr>
                <w:rStyle w:val="font71"/>
                <w:rFonts w:hint="default"/>
                <w:lang w:bidi="ar"/>
              </w:rPr>
              <w:t>10%</w:t>
            </w:r>
            <w:r>
              <w:rPr>
                <w:rStyle w:val="font71"/>
                <w:rFonts w:hint="default"/>
                <w:lang w:bidi="ar"/>
              </w:rPr>
              <w:t>扣分；计算结果在</w:t>
            </w:r>
            <w:r>
              <w:rPr>
                <w:rStyle w:val="font71"/>
                <w:rFonts w:hint="default"/>
                <w:lang w:bidi="ar"/>
              </w:rPr>
              <w:t>300%—500%</w:t>
            </w:r>
            <w:r>
              <w:rPr>
                <w:rStyle w:val="font71"/>
                <w:rFonts w:hint="default"/>
                <w:lang w:bidi="ar"/>
              </w:rPr>
              <w:t>（含</w:t>
            </w:r>
            <w:r>
              <w:rPr>
                <w:rStyle w:val="font71"/>
                <w:rFonts w:hint="default"/>
                <w:lang w:bidi="ar"/>
              </w:rPr>
              <w:t>300%</w:t>
            </w:r>
            <w:r>
              <w:rPr>
                <w:rStyle w:val="font71"/>
                <w:rFonts w:hint="default"/>
                <w:lang w:bidi="ar"/>
              </w:rPr>
              <w:t>）区间，则按照该指标分值的</w:t>
            </w:r>
            <w:r>
              <w:rPr>
                <w:rStyle w:val="font71"/>
                <w:rFonts w:hint="default"/>
                <w:lang w:bidi="ar"/>
              </w:rPr>
              <w:t>20%</w:t>
            </w:r>
            <w:r>
              <w:rPr>
                <w:rStyle w:val="font71"/>
                <w:rFonts w:hint="default"/>
                <w:lang w:bidi="ar"/>
              </w:rPr>
              <w:t>扣分；计算结果高于</w:t>
            </w:r>
            <w:r>
              <w:rPr>
                <w:rStyle w:val="font71"/>
                <w:rFonts w:hint="default"/>
                <w:lang w:bidi="ar"/>
              </w:rPr>
              <w:t>500%</w:t>
            </w:r>
            <w:r>
              <w:rPr>
                <w:rStyle w:val="font71"/>
                <w:rFonts w:hint="default"/>
                <w:lang w:bidi="ar"/>
              </w:rPr>
              <w:t>（含</w:t>
            </w:r>
            <w:r>
              <w:rPr>
                <w:rStyle w:val="font71"/>
                <w:rFonts w:hint="default"/>
                <w:lang w:bidi="ar"/>
              </w:rPr>
              <w:t>500%</w:t>
            </w:r>
            <w:r>
              <w:rPr>
                <w:rStyle w:val="font71"/>
                <w:rFonts w:hint="default"/>
                <w:lang w:bidi="ar"/>
              </w:rPr>
              <w:t>），则按照该指标分值的</w:t>
            </w:r>
            <w:r>
              <w:rPr>
                <w:rStyle w:val="font71"/>
                <w:rFonts w:hint="default"/>
                <w:lang w:bidi="ar"/>
              </w:rPr>
              <w:t>30%</w:t>
            </w:r>
            <w:r>
              <w:rPr>
                <w:rStyle w:val="font71"/>
                <w:rFonts w:hint="default"/>
                <w:lang w:bidi="ar"/>
              </w:rPr>
              <w:t>扣分。</w:t>
            </w:r>
            <w:r>
              <w:rPr>
                <w:rStyle w:val="font71"/>
                <w:rFonts w:hint="default"/>
                <w:lang w:bidi="ar"/>
              </w:rPr>
              <w:br/>
            </w:r>
            <w:r>
              <w:rPr>
                <w:rStyle w:val="font71"/>
                <w:rFonts w:hint="default"/>
                <w:lang w:bidi="ar"/>
              </w:rPr>
              <w:t>3.</w:t>
            </w:r>
            <w:r>
              <w:rPr>
                <w:rStyle w:val="font71"/>
                <w:rFonts w:hint="default"/>
                <w:lang w:bidi="ar"/>
              </w:rPr>
              <w:t>定性指标根据指标完成情况分为：达成预期目标、基本达成预期指标且效果较好、部分达成预期指标且具有一定效果、未达成预期指标且效果</w:t>
            </w:r>
            <w:proofErr w:type="gramStart"/>
            <w:r>
              <w:rPr>
                <w:rStyle w:val="font71"/>
                <w:rFonts w:hint="default"/>
                <w:lang w:bidi="ar"/>
              </w:rPr>
              <w:t>较差四</w:t>
            </w:r>
            <w:proofErr w:type="gramEnd"/>
            <w:r>
              <w:rPr>
                <w:rStyle w:val="font71"/>
                <w:rFonts w:hint="default"/>
                <w:lang w:bidi="ar"/>
              </w:rPr>
              <w:t>档，分别按照该指标对应分值区间</w:t>
            </w:r>
            <w:r>
              <w:rPr>
                <w:rStyle w:val="font71"/>
                <w:rFonts w:hint="default"/>
                <w:lang w:bidi="ar"/>
              </w:rPr>
              <w:t>100-90%</w:t>
            </w:r>
            <w:r>
              <w:rPr>
                <w:rStyle w:val="font71"/>
                <w:rFonts w:hint="default"/>
                <w:lang w:bidi="ar"/>
              </w:rPr>
              <w:t>（含</w:t>
            </w:r>
            <w:r>
              <w:rPr>
                <w:rStyle w:val="font71"/>
                <w:rFonts w:hint="default"/>
                <w:lang w:bidi="ar"/>
              </w:rPr>
              <w:t>90%</w:t>
            </w:r>
            <w:r>
              <w:rPr>
                <w:rStyle w:val="font71"/>
                <w:rFonts w:hint="default"/>
                <w:lang w:bidi="ar"/>
              </w:rPr>
              <w:t>）、</w:t>
            </w:r>
            <w:r>
              <w:rPr>
                <w:rStyle w:val="font71"/>
                <w:rFonts w:hint="default"/>
                <w:lang w:bidi="ar"/>
              </w:rPr>
              <w:t>90-75%</w:t>
            </w:r>
            <w:r>
              <w:rPr>
                <w:rStyle w:val="font71"/>
                <w:rFonts w:hint="default"/>
                <w:lang w:bidi="ar"/>
              </w:rPr>
              <w:t>（含</w:t>
            </w:r>
            <w:r>
              <w:rPr>
                <w:rStyle w:val="font71"/>
                <w:rFonts w:hint="default"/>
                <w:lang w:bidi="ar"/>
              </w:rPr>
              <w:t>75%</w:t>
            </w:r>
            <w:r>
              <w:rPr>
                <w:rStyle w:val="font71"/>
                <w:rFonts w:hint="default"/>
                <w:lang w:bidi="ar"/>
              </w:rPr>
              <w:t>）、</w:t>
            </w:r>
            <w:r>
              <w:rPr>
                <w:rStyle w:val="font71"/>
                <w:rFonts w:hint="default"/>
                <w:lang w:bidi="ar"/>
              </w:rPr>
              <w:t>75-60%</w:t>
            </w:r>
            <w:r>
              <w:rPr>
                <w:rStyle w:val="font71"/>
                <w:rFonts w:hint="default"/>
                <w:lang w:bidi="ar"/>
              </w:rPr>
              <w:t>（含</w:t>
            </w:r>
            <w:r>
              <w:rPr>
                <w:rStyle w:val="font71"/>
                <w:rFonts w:hint="default"/>
                <w:lang w:bidi="ar"/>
              </w:rPr>
              <w:t>60%</w:t>
            </w:r>
            <w:r>
              <w:rPr>
                <w:rStyle w:val="font71"/>
                <w:rFonts w:hint="default"/>
                <w:lang w:bidi="ar"/>
              </w:rPr>
              <w:t>）、</w:t>
            </w:r>
            <w:r>
              <w:rPr>
                <w:rStyle w:val="font71"/>
                <w:rFonts w:hint="default"/>
                <w:lang w:bidi="ar"/>
              </w:rPr>
              <w:t>60-0%</w:t>
            </w:r>
            <w:r>
              <w:rPr>
                <w:rStyle w:val="font71"/>
                <w:rFonts w:hint="default"/>
                <w:lang w:bidi="ar"/>
              </w:rPr>
              <w:t>合理确定分值。</w:t>
            </w:r>
            <w:r>
              <w:rPr>
                <w:rStyle w:val="font71"/>
                <w:rFonts w:hint="default"/>
                <w:lang w:bidi="ar"/>
              </w:rPr>
              <w:t xml:space="preserve">                                                                                                  4.</w:t>
            </w:r>
            <w:r>
              <w:rPr>
                <w:rStyle w:val="font71"/>
                <w:rFonts w:hint="default"/>
                <w:lang w:bidi="ar"/>
              </w:rPr>
              <w:t>请在</w:t>
            </w:r>
            <w:r>
              <w:rPr>
                <w:rStyle w:val="font71"/>
                <w:rFonts w:hint="default"/>
                <w:lang w:bidi="ar"/>
              </w:rPr>
              <w:t>“</w:t>
            </w:r>
            <w:r>
              <w:rPr>
                <w:rStyle w:val="font71"/>
                <w:rFonts w:hint="default"/>
                <w:lang w:bidi="ar"/>
              </w:rPr>
              <w:t>偏差原因分析及改进措施</w:t>
            </w:r>
            <w:r>
              <w:rPr>
                <w:rStyle w:val="font71"/>
                <w:rFonts w:hint="default"/>
                <w:lang w:bidi="ar"/>
              </w:rPr>
              <w:t>”</w:t>
            </w:r>
            <w:r>
              <w:rPr>
                <w:rStyle w:val="font71"/>
                <w:rFonts w:hint="default"/>
                <w:lang w:bidi="ar"/>
              </w:rPr>
              <w:t>中说明偏离目标</w:t>
            </w:r>
            <w:r>
              <w:rPr>
                <w:rStyle w:val="font71"/>
                <w:rFonts w:hint="default"/>
                <w:lang w:bidi="ar"/>
              </w:rPr>
              <w:t>、不能完成目标的原因及拟采取的措施。</w:t>
            </w:r>
            <w:r>
              <w:rPr>
                <w:rStyle w:val="font01"/>
                <w:rFonts w:hint="default"/>
                <w:lang w:bidi="ar"/>
              </w:rPr>
              <w:br/>
              <w:t>5.90</w:t>
            </w:r>
            <w:r>
              <w:rPr>
                <w:rStyle w:val="font01"/>
                <w:rFonts w:hint="default"/>
                <w:lang w:bidi="ar"/>
              </w:rPr>
              <w:t>（含）</w:t>
            </w:r>
            <w:r>
              <w:rPr>
                <w:rStyle w:val="font01"/>
                <w:rFonts w:hint="default"/>
                <w:lang w:bidi="ar"/>
              </w:rPr>
              <w:t>-100</w:t>
            </w:r>
            <w:r>
              <w:rPr>
                <w:rStyle w:val="font01"/>
                <w:rFonts w:hint="default"/>
                <w:lang w:bidi="ar"/>
              </w:rPr>
              <w:t>分为优、</w:t>
            </w:r>
            <w:r>
              <w:rPr>
                <w:rStyle w:val="font01"/>
                <w:rFonts w:hint="default"/>
                <w:lang w:bidi="ar"/>
              </w:rPr>
              <w:t>80</w:t>
            </w:r>
            <w:r>
              <w:rPr>
                <w:rStyle w:val="font01"/>
                <w:rFonts w:hint="default"/>
                <w:lang w:bidi="ar"/>
              </w:rPr>
              <w:t>（含）</w:t>
            </w:r>
            <w:r>
              <w:rPr>
                <w:rStyle w:val="font01"/>
                <w:rFonts w:hint="default"/>
                <w:lang w:bidi="ar"/>
              </w:rPr>
              <w:t>-90</w:t>
            </w:r>
            <w:r>
              <w:rPr>
                <w:rStyle w:val="font01"/>
                <w:rFonts w:hint="default"/>
                <w:lang w:bidi="ar"/>
              </w:rPr>
              <w:t>分为良、</w:t>
            </w:r>
            <w:r>
              <w:rPr>
                <w:rStyle w:val="font01"/>
                <w:rFonts w:hint="default"/>
                <w:lang w:bidi="ar"/>
              </w:rPr>
              <w:t>60</w:t>
            </w:r>
            <w:r>
              <w:rPr>
                <w:rStyle w:val="font01"/>
                <w:rFonts w:hint="default"/>
                <w:lang w:bidi="ar"/>
              </w:rPr>
              <w:t>（含）</w:t>
            </w:r>
            <w:r>
              <w:rPr>
                <w:rStyle w:val="font01"/>
                <w:rFonts w:hint="default"/>
                <w:lang w:bidi="ar"/>
              </w:rPr>
              <w:t>-80</w:t>
            </w:r>
            <w:r>
              <w:rPr>
                <w:rStyle w:val="font01"/>
                <w:rFonts w:hint="default"/>
                <w:lang w:bidi="ar"/>
              </w:rPr>
              <w:t>分为中、</w:t>
            </w:r>
            <w:r>
              <w:rPr>
                <w:rStyle w:val="font01"/>
                <w:rFonts w:hint="default"/>
                <w:lang w:bidi="ar"/>
              </w:rPr>
              <w:t>60</w:t>
            </w:r>
            <w:r>
              <w:rPr>
                <w:rStyle w:val="font01"/>
                <w:rFonts w:hint="default"/>
                <w:lang w:bidi="ar"/>
              </w:rPr>
              <w:t>分以下为差。</w:t>
            </w:r>
          </w:p>
        </w:tc>
      </w:tr>
      <w:tr w:rsidR="00190EDE">
        <w:trPr>
          <w:trHeight w:val="420"/>
        </w:trPr>
        <w:tc>
          <w:tcPr>
            <w:tcW w:w="13837" w:type="dxa"/>
            <w:gridSpan w:val="11"/>
            <w:tcBorders>
              <w:top w:val="nil"/>
              <w:left w:val="nil"/>
              <w:bottom w:val="nil"/>
              <w:right w:val="nil"/>
            </w:tcBorders>
            <w:shd w:val="clear" w:color="auto" w:fill="auto"/>
            <w:vAlign w:val="center"/>
          </w:tcPr>
          <w:p w:rsidR="0062255B" w:rsidRDefault="0062255B">
            <w:pPr>
              <w:widowControl/>
              <w:jc w:val="center"/>
              <w:textAlignment w:val="center"/>
              <w:rPr>
                <w:rStyle w:val="font101"/>
                <w:rFonts w:hint="default"/>
                <w:lang w:bidi="ar"/>
              </w:rPr>
            </w:pPr>
          </w:p>
          <w:p w:rsidR="0062255B" w:rsidRDefault="0062255B">
            <w:pPr>
              <w:widowControl/>
              <w:jc w:val="center"/>
              <w:textAlignment w:val="center"/>
              <w:rPr>
                <w:rStyle w:val="font101"/>
                <w:rFonts w:hint="default"/>
                <w:lang w:bidi="ar"/>
              </w:rPr>
            </w:pPr>
          </w:p>
          <w:p w:rsidR="0062255B" w:rsidRPr="0062255B" w:rsidRDefault="0062255B" w:rsidP="0062255B">
            <w:pPr>
              <w:pStyle w:val="2"/>
              <w:rPr>
                <w:lang w:bidi="ar"/>
              </w:rPr>
            </w:pPr>
          </w:p>
          <w:p w:rsidR="00190EDE" w:rsidRDefault="00772BB2">
            <w:pPr>
              <w:widowControl/>
              <w:jc w:val="center"/>
              <w:textAlignment w:val="center"/>
              <w:rPr>
                <w:rFonts w:ascii="宋体" w:hAnsi="宋体" w:cs="宋体"/>
                <w:b/>
                <w:color w:val="000000"/>
                <w:sz w:val="32"/>
                <w:szCs w:val="32"/>
              </w:rPr>
            </w:pPr>
            <w:r>
              <w:rPr>
                <w:rStyle w:val="font101"/>
                <w:rFonts w:hint="default"/>
                <w:lang w:bidi="ar"/>
              </w:rPr>
              <w:t>项目支出绩效自评表</w:t>
            </w:r>
            <w:r>
              <w:rPr>
                <w:rFonts w:ascii="宋体" w:hAnsi="宋体" w:cs="宋体" w:hint="eastAsia"/>
                <w:color w:val="000000"/>
                <w:kern w:val="0"/>
                <w:sz w:val="32"/>
                <w:szCs w:val="32"/>
                <w:lang w:bidi="ar"/>
              </w:rPr>
              <w:t xml:space="preserve"> </w:t>
            </w:r>
          </w:p>
        </w:tc>
      </w:tr>
      <w:tr w:rsidR="00190EDE">
        <w:trPr>
          <w:trHeight w:val="435"/>
        </w:trPr>
        <w:tc>
          <w:tcPr>
            <w:tcW w:w="13837" w:type="dxa"/>
            <w:gridSpan w:val="11"/>
            <w:tcBorders>
              <w:top w:val="nil"/>
              <w:left w:val="nil"/>
              <w:bottom w:val="nil"/>
              <w:right w:val="nil"/>
            </w:tcBorders>
            <w:shd w:val="clear" w:color="auto" w:fill="auto"/>
            <w:vAlign w:val="center"/>
          </w:tcPr>
          <w:p w:rsidR="00190EDE" w:rsidRDefault="00772BB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190EDE" w:rsidTr="0062255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49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投诉举报业务云租赁</w:t>
            </w:r>
          </w:p>
        </w:tc>
      </w:tr>
      <w:tr w:rsidR="00190EDE" w:rsidTr="0062255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北京市药品监督管理局投诉举报中心</w:t>
            </w:r>
          </w:p>
        </w:tc>
      </w:tr>
      <w:tr w:rsidR="00190EDE" w:rsidTr="0062255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韩毅</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55527260</w:t>
            </w:r>
          </w:p>
        </w:tc>
      </w:tr>
      <w:tr w:rsidR="00190EDE" w:rsidTr="0062255B">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90EDE" w:rsidTr="0062255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23.81</w:t>
            </w: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23.81</w:t>
            </w: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17.8575</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75.00%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7.50 </w:t>
            </w:r>
          </w:p>
        </w:tc>
      </w:tr>
      <w:tr w:rsidR="00190EDE" w:rsidTr="0062255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23.81</w:t>
            </w: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23.81</w:t>
            </w: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17.8575</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6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r>
      <w:tr w:rsidR="00190EDE" w:rsidTr="0062255B">
        <w:trPr>
          <w:trHeight w:val="435"/>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90EDE" w:rsidTr="0062255B">
        <w:trPr>
          <w:trHeight w:val="160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783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w:t>
            </w: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政务云”的方式运行维护投诉举报业务系统，可以更好的保障投诉举报和“接诉即办”工作有序开展，确保投诉举报业务系统稳定运行，提高系统的稳定性和数据安全性，为投诉举报工作提供技术支撑服务，促进提升投诉举报工作效能，持续发挥更好的社会效益。</w:t>
            </w:r>
          </w:p>
        </w:tc>
        <w:tc>
          <w:tcPr>
            <w:tcW w:w="54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通过采用“政务云”的方式运行投诉举报业务系统，保证了业务系统的稳定性和数据安全性，为药品投诉举报、</w:t>
            </w:r>
            <w:proofErr w:type="gramStart"/>
            <w:r>
              <w:rPr>
                <w:rFonts w:ascii="宋体" w:hAnsi="宋体" w:cs="宋体" w:hint="eastAsia"/>
                <w:color w:val="000000"/>
                <w:kern w:val="0"/>
                <w:sz w:val="20"/>
                <w:szCs w:val="20"/>
                <w:lang w:bidi="ar"/>
              </w:rPr>
              <w:t>接诉即办</w:t>
            </w:r>
            <w:proofErr w:type="gramEnd"/>
            <w:r>
              <w:rPr>
                <w:rFonts w:ascii="宋体" w:hAnsi="宋体" w:cs="宋体" w:hint="eastAsia"/>
                <w:color w:val="000000"/>
                <w:kern w:val="0"/>
                <w:sz w:val="20"/>
                <w:szCs w:val="20"/>
                <w:lang w:bidi="ar"/>
              </w:rPr>
              <w:t>工作提供技术支撑服务，促进提升投诉举报工作效能，持续发挥更好的社会效益。</w:t>
            </w:r>
          </w:p>
        </w:tc>
      </w:tr>
      <w:tr w:rsidR="00190EDE" w:rsidTr="0062255B">
        <w:trPr>
          <w:trHeight w:val="810"/>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val="restart"/>
            <w:tcBorders>
              <w:top w:val="single" w:sz="4" w:space="0" w:color="000000"/>
              <w:left w:val="single" w:sz="4" w:space="0" w:color="000000"/>
              <w:bottom w:val="nil"/>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支撑运行投诉举报系统</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套</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套</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提供计算服务云主机</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台</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台</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提供存储服务</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20480MB</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20480MB</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系统运行</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稳定</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稳定运行</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投诉举报业务云租赁期</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基础服务</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11.844</w:t>
            </w:r>
            <w:r>
              <w:rPr>
                <w:rFonts w:ascii="宋体" w:hAnsi="宋体" w:cs="宋体" w:hint="eastAsia"/>
                <w:color w:val="000000"/>
                <w:kern w:val="0"/>
                <w:sz w:val="20"/>
                <w:szCs w:val="20"/>
                <w:lang w:bidi="ar"/>
              </w:rPr>
              <w:t>万元</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8.883</w:t>
            </w:r>
            <w:r>
              <w:rPr>
                <w:rFonts w:ascii="宋体" w:hAnsi="宋体" w:cs="宋体" w:hint="eastAsia"/>
                <w:color w:val="000000"/>
                <w:kern w:val="0"/>
                <w:sz w:val="20"/>
                <w:szCs w:val="20"/>
                <w:lang w:bidi="ar"/>
              </w:rPr>
              <w:t>万元</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药品投诉举报工作正常开展</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得到提升</w:t>
            </w:r>
          </w:p>
        </w:tc>
        <w:tc>
          <w:tcPr>
            <w:tcW w:w="1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支撑保证服务药品投诉举报工作正常开展</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9"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1"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云服务</w:t>
            </w:r>
            <w:proofErr w:type="gramEnd"/>
            <w:r>
              <w:rPr>
                <w:rFonts w:ascii="宋体" w:hAnsi="宋体" w:cs="宋体" w:hint="eastAsia"/>
                <w:color w:val="000000"/>
                <w:kern w:val="0"/>
                <w:sz w:val="20"/>
                <w:szCs w:val="20"/>
                <w:lang w:bidi="ar"/>
              </w:rPr>
              <w:t>使用人员满意度</w:t>
            </w:r>
          </w:p>
        </w:tc>
        <w:tc>
          <w:tcPr>
            <w:tcW w:w="2797" w:type="dxa"/>
            <w:gridSpan w:val="2"/>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692"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60"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402"/>
        </w:trPr>
        <w:tc>
          <w:tcPr>
            <w:tcW w:w="1008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97.50 </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b/>
                <w:color w:val="000000"/>
                <w:sz w:val="20"/>
                <w:szCs w:val="20"/>
              </w:rPr>
            </w:pPr>
          </w:p>
        </w:tc>
      </w:tr>
      <w:tr w:rsidR="00190EDE">
        <w:trPr>
          <w:trHeight w:val="3030"/>
        </w:trPr>
        <w:tc>
          <w:tcPr>
            <w:tcW w:w="13837" w:type="dxa"/>
            <w:gridSpan w:val="11"/>
            <w:tcBorders>
              <w:top w:val="nil"/>
              <w:left w:val="nil"/>
              <w:bottom w:val="nil"/>
              <w:right w:val="nil"/>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Style w:val="font111"/>
                <w:rFonts w:hint="default"/>
                <w:lang w:bidi="ar"/>
              </w:rPr>
              <w:lastRenderedPageBreak/>
              <w:t>1.</w:t>
            </w:r>
            <w:r>
              <w:rPr>
                <w:rStyle w:val="font111"/>
                <w:rFonts w:hint="default"/>
                <w:lang w:bidi="ar"/>
              </w:rPr>
              <w:t>得分一</w:t>
            </w:r>
            <w:r>
              <w:rPr>
                <w:rStyle w:val="font21"/>
                <w:rFonts w:hint="default"/>
                <w:lang w:bidi="ar"/>
              </w:rPr>
              <w:t>档最高不能超过该指标分值上限。</w:t>
            </w:r>
            <w:r>
              <w:rPr>
                <w:rStyle w:val="font21"/>
                <w:rFonts w:hint="default"/>
                <w:lang w:bidi="ar"/>
              </w:rPr>
              <w:br/>
            </w:r>
            <w:r>
              <w:rPr>
                <w:rStyle w:val="font21"/>
                <w:rFonts w:hint="default"/>
                <w:lang w:bidi="ar"/>
              </w:rPr>
              <w:t>2.</w:t>
            </w:r>
            <w:r>
              <w:rPr>
                <w:rStyle w:val="font21"/>
                <w:rFonts w:hint="default"/>
                <w:lang w:bidi="ar"/>
              </w:rPr>
              <w:t>定量指标若为正向指标，则得分计算方法应用全年实际值（</w:t>
            </w:r>
            <w:r>
              <w:rPr>
                <w:rStyle w:val="font21"/>
                <w:rFonts w:hint="default"/>
                <w:lang w:bidi="ar"/>
              </w:rPr>
              <w:t>B</w:t>
            </w:r>
            <w:r>
              <w:rPr>
                <w:rStyle w:val="font21"/>
                <w:rFonts w:hint="default"/>
                <w:lang w:bidi="ar"/>
              </w:rPr>
              <w:t>）</w:t>
            </w:r>
            <w:r>
              <w:rPr>
                <w:rStyle w:val="font21"/>
                <w:rFonts w:hint="default"/>
                <w:lang w:bidi="ar"/>
              </w:rPr>
              <w:t>/</w:t>
            </w:r>
            <w:r>
              <w:rPr>
                <w:rStyle w:val="font21"/>
                <w:rFonts w:hint="default"/>
                <w:lang w:bidi="ar"/>
              </w:rPr>
              <w:t>年度指标值（</w:t>
            </w:r>
            <w:r>
              <w:rPr>
                <w:rStyle w:val="font21"/>
                <w:rFonts w:hint="default"/>
                <w:lang w:bidi="ar"/>
              </w:rPr>
              <w:t>A</w:t>
            </w:r>
            <w:r>
              <w:rPr>
                <w:rStyle w:val="font21"/>
                <w:rFonts w:hint="default"/>
                <w:lang w:bidi="ar"/>
              </w:rPr>
              <w:t>）</w:t>
            </w:r>
            <w:r>
              <w:rPr>
                <w:rStyle w:val="font21"/>
                <w:rFonts w:hint="default"/>
                <w:lang w:bidi="ar"/>
              </w:rPr>
              <w:t>*</w:t>
            </w:r>
            <w:r>
              <w:rPr>
                <w:rStyle w:val="font21"/>
                <w:rFonts w:hint="default"/>
                <w:lang w:bidi="ar"/>
              </w:rPr>
              <w:t>该指标分值；若定量指标为反向指标，则得分计算方法应用年度指标值（</w:t>
            </w:r>
            <w:r>
              <w:rPr>
                <w:rStyle w:val="font21"/>
                <w:rFonts w:hint="default"/>
                <w:lang w:bidi="ar"/>
              </w:rPr>
              <w:t>A</w:t>
            </w:r>
            <w:r>
              <w:rPr>
                <w:rStyle w:val="font21"/>
                <w:rFonts w:hint="default"/>
                <w:lang w:bidi="ar"/>
              </w:rPr>
              <w:t>）</w:t>
            </w:r>
            <w:r>
              <w:rPr>
                <w:rStyle w:val="font21"/>
                <w:rFonts w:hint="default"/>
                <w:lang w:bidi="ar"/>
              </w:rPr>
              <w:t>/</w:t>
            </w:r>
            <w:r>
              <w:rPr>
                <w:rStyle w:val="font21"/>
                <w:rFonts w:hint="default"/>
                <w:lang w:bidi="ar"/>
              </w:rPr>
              <w:t>全年实际值（</w:t>
            </w:r>
            <w:r>
              <w:rPr>
                <w:rStyle w:val="font21"/>
                <w:rFonts w:hint="default"/>
                <w:lang w:bidi="ar"/>
              </w:rPr>
              <w:t>B</w:t>
            </w:r>
            <w:r>
              <w:rPr>
                <w:rStyle w:val="font21"/>
                <w:rFonts w:hint="default"/>
                <w:lang w:bidi="ar"/>
              </w:rPr>
              <w:t>）</w:t>
            </w:r>
            <w:r>
              <w:rPr>
                <w:rStyle w:val="font21"/>
                <w:rFonts w:hint="default"/>
                <w:lang w:bidi="ar"/>
              </w:rPr>
              <w:t>*</w:t>
            </w:r>
            <w:r>
              <w:rPr>
                <w:rStyle w:val="font21"/>
                <w:rFonts w:hint="default"/>
                <w:lang w:bidi="ar"/>
              </w:rPr>
              <w:t>该指标分值。若年初指标值设定偏低，则得分计算方法应用（全年实际值（</w:t>
            </w:r>
            <w:r>
              <w:rPr>
                <w:rStyle w:val="font21"/>
                <w:rFonts w:hint="default"/>
                <w:lang w:bidi="ar"/>
              </w:rPr>
              <w:t>B</w:t>
            </w:r>
            <w:r>
              <w:rPr>
                <w:rStyle w:val="font21"/>
                <w:rFonts w:hint="default"/>
                <w:lang w:bidi="ar"/>
              </w:rPr>
              <w:t>）</w:t>
            </w:r>
            <w:r>
              <w:rPr>
                <w:rStyle w:val="font21"/>
                <w:rFonts w:hint="default"/>
                <w:lang w:bidi="ar"/>
              </w:rPr>
              <w:t>-</w:t>
            </w:r>
            <w:r>
              <w:rPr>
                <w:rStyle w:val="font21"/>
                <w:rFonts w:hint="default"/>
                <w:lang w:bidi="ar"/>
              </w:rPr>
              <w:t>年度指标值（</w:t>
            </w:r>
            <w:r>
              <w:rPr>
                <w:rStyle w:val="font21"/>
                <w:rFonts w:hint="default"/>
                <w:lang w:bidi="ar"/>
              </w:rPr>
              <w:t>A</w:t>
            </w:r>
            <w:r>
              <w:rPr>
                <w:rStyle w:val="font21"/>
                <w:rFonts w:hint="default"/>
                <w:lang w:bidi="ar"/>
              </w:rPr>
              <w:t>）</w:t>
            </w:r>
            <w:r>
              <w:rPr>
                <w:rStyle w:val="font21"/>
                <w:rFonts w:hint="default"/>
                <w:lang w:bidi="ar"/>
              </w:rPr>
              <w:t>/</w:t>
            </w:r>
            <w:r>
              <w:rPr>
                <w:rStyle w:val="font21"/>
                <w:rFonts w:hint="default"/>
                <w:lang w:bidi="ar"/>
              </w:rPr>
              <w:t>年度指标值（</w:t>
            </w:r>
            <w:r>
              <w:rPr>
                <w:rStyle w:val="font21"/>
                <w:rFonts w:hint="default"/>
                <w:lang w:bidi="ar"/>
              </w:rPr>
              <w:t>A</w:t>
            </w:r>
            <w:r>
              <w:rPr>
                <w:rStyle w:val="font21"/>
                <w:rFonts w:hint="default"/>
                <w:lang w:bidi="ar"/>
              </w:rPr>
              <w:t>）</w:t>
            </w:r>
            <w:r>
              <w:rPr>
                <w:rStyle w:val="font21"/>
                <w:rFonts w:hint="default"/>
                <w:lang w:bidi="ar"/>
              </w:rPr>
              <w:t>*100%</w:t>
            </w:r>
            <w:r>
              <w:rPr>
                <w:rStyle w:val="font21"/>
                <w:rFonts w:hint="default"/>
                <w:lang w:bidi="ar"/>
              </w:rPr>
              <w:t>。若计算结果在</w:t>
            </w:r>
            <w:r>
              <w:rPr>
                <w:rStyle w:val="font21"/>
                <w:rFonts w:hint="default"/>
                <w:lang w:bidi="ar"/>
              </w:rPr>
              <w:t>200%—300%</w:t>
            </w:r>
            <w:r>
              <w:rPr>
                <w:rStyle w:val="font21"/>
                <w:rFonts w:hint="default"/>
                <w:lang w:bidi="ar"/>
              </w:rPr>
              <w:t>（含</w:t>
            </w:r>
            <w:r>
              <w:rPr>
                <w:rStyle w:val="font21"/>
                <w:rFonts w:hint="default"/>
                <w:lang w:bidi="ar"/>
              </w:rPr>
              <w:t>200%</w:t>
            </w:r>
            <w:r>
              <w:rPr>
                <w:rStyle w:val="font21"/>
                <w:rFonts w:hint="default"/>
                <w:lang w:bidi="ar"/>
              </w:rPr>
              <w:t>）区间，则按照该指标分值的</w:t>
            </w:r>
            <w:r>
              <w:rPr>
                <w:rStyle w:val="font21"/>
                <w:rFonts w:hint="default"/>
                <w:lang w:bidi="ar"/>
              </w:rPr>
              <w:t>10%</w:t>
            </w:r>
            <w:r>
              <w:rPr>
                <w:rStyle w:val="font21"/>
                <w:rFonts w:hint="default"/>
                <w:lang w:bidi="ar"/>
              </w:rPr>
              <w:t>扣分；计算结果在</w:t>
            </w:r>
            <w:r>
              <w:rPr>
                <w:rStyle w:val="font21"/>
                <w:rFonts w:hint="default"/>
                <w:lang w:bidi="ar"/>
              </w:rPr>
              <w:t>300%—500%</w:t>
            </w:r>
            <w:r>
              <w:rPr>
                <w:rStyle w:val="font21"/>
                <w:rFonts w:hint="default"/>
                <w:lang w:bidi="ar"/>
              </w:rPr>
              <w:t>（含</w:t>
            </w:r>
            <w:r>
              <w:rPr>
                <w:rStyle w:val="font21"/>
                <w:rFonts w:hint="default"/>
                <w:lang w:bidi="ar"/>
              </w:rPr>
              <w:t>300%</w:t>
            </w:r>
            <w:r>
              <w:rPr>
                <w:rStyle w:val="font21"/>
                <w:rFonts w:hint="default"/>
                <w:lang w:bidi="ar"/>
              </w:rPr>
              <w:t>）区间，则按照该指标分值的</w:t>
            </w:r>
            <w:r>
              <w:rPr>
                <w:rStyle w:val="font21"/>
                <w:rFonts w:hint="default"/>
                <w:lang w:bidi="ar"/>
              </w:rPr>
              <w:t>20%</w:t>
            </w:r>
            <w:r>
              <w:rPr>
                <w:rStyle w:val="font21"/>
                <w:rFonts w:hint="default"/>
                <w:lang w:bidi="ar"/>
              </w:rPr>
              <w:t>扣分；计算结果高于</w:t>
            </w:r>
            <w:r>
              <w:rPr>
                <w:rStyle w:val="font21"/>
                <w:rFonts w:hint="default"/>
                <w:lang w:bidi="ar"/>
              </w:rPr>
              <w:t>500%</w:t>
            </w:r>
            <w:r>
              <w:rPr>
                <w:rStyle w:val="font21"/>
                <w:rFonts w:hint="default"/>
                <w:lang w:bidi="ar"/>
              </w:rPr>
              <w:t>（含</w:t>
            </w:r>
            <w:r>
              <w:rPr>
                <w:rStyle w:val="font21"/>
                <w:rFonts w:hint="default"/>
                <w:lang w:bidi="ar"/>
              </w:rPr>
              <w:t>500%</w:t>
            </w:r>
            <w:r>
              <w:rPr>
                <w:rStyle w:val="font21"/>
                <w:rFonts w:hint="default"/>
                <w:lang w:bidi="ar"/>
              </w:rPr>
              <w:t>），则按照该指标分值的</w:t>
            </w:r>
            <w:r>
              <w:rPr>
                <w:rStyle w:val="font21"/>
                <w:rFonts w:hint="default"/>
                <w:lang w:bidi="ar"/>
              </w:rPr>
              <w:t>30%</w:t>
            </w:r>
            <w:r>
              <w:rPr>
                <w:rStyle w:val="font21"/>
                <w:rFonts w:hint="default"/>
                <w:lang w:bidi="ar"/>
              </w:rPr>
              <w:t>扣分。</w:t>
            </w:r>
            <w:r>
              <w:rPr>
                <w:rStyle w:val="font21"/>
                <w:rFonts w:hint="default"/>
                <w:lang w:bidi="ar"/>
              </w:rPr>
              <w:br/>
            </w:r>
            <w:r>
              <w:rPr>
                <w:rStyle w:val="font21"/>
                <w:rFonts w:hint="default"/>
                <w:lang w:bidi="ar"/>
              </w:rPr>
              <w:t>3.</w:t>
            </w:r>
            <w:r>
              <w:rPr>
                <w:rStyle w:val="font21"/>
                <w:rFonts w:hint="default"/>
                <w:lang w:bidi="ar"/>
              </w:rPr>
              <w:t>定性指标根据指标完成情况分为：达成预期目标、基本达成预期指标且效果较好、部分达成预期指标且具有一定效果、未达成预期指标且效果</w:t>
            </w:r>
            <w:proofErr w:type="gramStart"/>
            <w:r>
              <w:rPr>
                <w:rStyle w:val="font21"/>
                <w:rFonts w:hint="default"/>
                <w:lang w:bidi="ar"/>
              </w:rPr>
              <w:t>较差四</w:t>
            </w:r>
            <w:proofErr w:type="gramEnd"/>
            <w:r>
              <w:rPr>
                <w:rStyle w:val="font21"/>
                <w:rFonts w:hint="default"/>
                <w:lang w:bidi="ar"/>
              </w:rPr>
              <w:t>档，分别按照该指标对应分值区间</w:t>
            </w:r>
            <w:r>
              <w:rPr>
                <w:rStyle w:val="font21"/>
                <w:rFonts w:hint="default"/>
                <w:lang w:bidi="ar"/>
              </w:rPr>
              <w:t>100-90%</w:t>
            </w:r>
            <w:r>
              <w:rPr>
                <w:rStyle w:val="font21"/>
                <w:rFonts w:hint="default"/>
                <w:lang w:bidi="ar"/>
              </w:rPr>
              <w:t>（含</w:t>
            </w:r>
            <w:r>
              <w:rPr>
                <w:rStyle w:val="font21"/>
                <w:rFonts w:hint="default"/>
                <w:lang w:bidi="ar"/>
              </w:rPr>
              <w:t>90%</w:t>
            </w:r>
            <w:r>
              <w:rPr>
                <w:rStyle w:val="font21"/>
                <w:rFonts w:hint="default"/>
                <w:lang w:bidi="ar"/>
              </w:rPr>
              <w:t>）、</w:t>
            </w:r>
            <w:r>
              <w:rPr>
                <w:rStyle w:val="font21"/>
                <w:rFonts w:hint="default"/>
                <w:lang w:bidi="ar"/>
              </w:rPr>
              <w:t>90-75%</w:t>
            </w:r>
            <w:r>
              <w:rPr>
                <w:rStyle w:val="font21"/>
                <w:rFonts w:hint="default"/>
                <w:lang w:bidi="ar"/>
              </w:rPr>
              <w:t>（含</w:t>
            </w:r>
            <w:r>
              <w:rPr>
                <w:rStyle w:val="font21"/>
                <w:rFonts w:hint="default"/>
                <w:lang w:bidi="ar"/>
              </w:rPr>
              <w:t>75%</w:t>
            </w:r>
            <w:r>
              <w:rPr>
                <w:rStyle w:val="font21"/>
                <w:rFonts w:hint="default"/>
                <w:lang w:bidi="ar"/>
              </w:rPr>
              <w:t>）、</w:t>
            </w:r>
            <w:r>
              <w:rPr>
                <w:rStyle w:val="font21"/>
                <w:rFonts w:hint="default"/>
                <w:lang w:bidi="ar"/>
              </w:rPr>
              <w:t>75-60%</w:t>
            </w:r>
            <w:r>
              <w:rPr>
                <w:rStyle w:val="font21"/>
                <w:rFonts w:hint="default"/>
                <w:lang w:bidi="ar"/>
              </w:rPr>
              <w:t>（含</w:t>
            </w:r>
            <w:r>
              <w:rPr>
                <w:rStyle w:val="font21"/>
                <w:rFonts w:hint="default"/>
                <w:lang w:bidi="ar"/>
              </w:rPr>
              <w:t>60%</w:t>
            </w:r>
            <w:r>
              <w:rPr>
                <w:rStyle w:val="font21"/>
                <w:rFonts w:hint="default"/>
                <w:lang w:bidi="ar"/>
              </w:rPr>
              <w:t>）、</w:t>
            </w:r>
            <w:r>
              <w:rPr>
                <w:rStyle w:val="font21"/>
                <w:rFonts w:hint="default"/>
                <w:lang w:bidi="ar"/>
              </w:rPr>
              <w:t>60-0%</w:t>
            </w:r>
            <w:r>
              <w:rPr>
                <w:rStyle w:val="font21"/>
                <w:rFonts w:hint="default"/>
                <w:lang w:bidi="ar"/>
              </w:rPr>
              <w:t>合理确定分值。</w:t>
            </w:r>
            <w:r>
              <w:rPr>
                <w:rStyle w:val="font21"/>
                <w:rFonts w:hint="default"/>
                <w:lang w:bidi="ar"/>
              </w:rPr>
              <w:t xml:space="preserve">                                                                                                  4.</w:t>
            </w:r>
            <w:r>
              <w:rPr>
                <w:rStyle w:val="font21"/>
                <w:rFonts w:hint="default"/>
                <w:lang w:bidi="ar"/>
              </w:rPr>
              <w:t>请在</w:t>
            </w:r>
            <w:r>
              <w:rPr>
                <w:rStyle w:val="font21"/>
                <w:rFonts w:hint="default"/>
                <w:lang w:bidi="ar"/>
              </w:rPr>
              <w:t>“</w:t>
            </w:r>
            <w:r>
              <w:rPr>
                <w:rStyle w:val="font21"/>
                <w:rFonts w:hint="default"/>
                <w:lang w:bidi="ar"/>
              </w:rPr>
              <w:t>偏差原因分析及改进措施</w:t>
            </w:r>
            <w:r>
              <w:rPr>
                <w:rStyle w:val="font21"/>
                <w:rFonts w:hint="default"/>
                <w:lang w:bidi="ar"/>
              </w:rPr>
              <w:t>”</w:t>
            </w:r>
            <w:r>
              <w:rPr>
                <w:rStyle w:val="font21"/>
                <w:rFonts w:hint="default"/>
                <w:lang w:bidi="ar"/>
              </w:rPr>
              <w:t>中说明偏离目标</w:t>
            </w:r>
            <w:r>
              <w:rPr>
                <w:rStyle w:val="font21"/>
                <w:rFonts w:hint="default"/>
                <w:lang w:bidi="ar"/>
              </w:rPr>
              <w:t>、不能完成目标的原因及拟采取的措施。</w:t>
            </w:r>
            <w:r>
              <w:rPr>
                <w:rStyle w:val="font21"/>
                <w:rFonts w:hint="default"/>
                <w:lang w:bidi="ar"/>
              </w:rPr>
              <w:br/>
              <w:t>5.90</w:t>
            </w:r>
            <w:r>
              <w:rPr>
                <w:rStyle w:val="font21"/>
                <w:rFonts w:hint="default"/>
                <w:lang w:bidi="ar"/>
              </w:rPr>
              <w:t>（含）</w:t>
            </w:r>
            <w:r>
              <w:rPr>
                <w:rStyle w:val="font21"/>
                <w:rFonts w:hint="default"/>
                <w:lang w:bidi="ar"/>
              </w:rPr>
              <w:t>-100</w:t>
            </w:r>
            <w:r>
              <w:rPr>
                <w:rStyle w:val="font21"/>
                <w:rFonts w:hint="default"/>
                <w:lang w:bidi="ar"/>
              </w:rPr>
              <w:t>分为优、</w:t>
            </w:r>
            <w:r>
              <w:rPr>
                <w:rStyle w:val="font21"/>
                <w:rFonts w:hint="default"/>
                <w:lang w:bidi="ar"/>
              </w:rPr>
              <w:t>80</w:t>
            </w:r>
            <w:r>
              <w:rPr>
                <w:rStyle w:val="font21"/>
                <w:rFonts w:hint="default"/>
                <w:lang w:bidi="ar"/>
              </w:rPr>
              <w:t>（含）</w:t>
            </w:r>
            <w:r>
              <w:rPr>
                <w:rStyle w:val="font21"/>
                <w:rFonts w:hint="default"/>
                <w:lang w:bidi="ar"/>
              </w:rPr>
              <w:t>-90</w:t>
            </w:r>
            <w:r>
              <w:rPr>
                <w:rStyle w:val="font21"/>
                <w:rFonts w:hint="default"/>
                <w:lang w:bidi="ar"/>
              </w:rPr>
              <w:t>分为良、</w:t>
            </w:r>
            <w:r>
              <w:rPr>
                <w:rStyle w:val="font21"/>
                <w:rFonts w:hint="default"/>
                <w:lang w:bidi="ar"/>
              </w:rPr>
              <w:t>60</w:t>
            </w:r>
            <w:r>
              <w:rPr>
                <w:rStyle w:val="font21"/>
                <w:rFonts w:hint="default"/>
                <w:lang w:bidi="ar"/>
              </w:rPr>
              <w:t>（含）</w:t>
            </w:r>
            <w:r>
              <w:rPr>
                <w:rStyle w:val="font21"/>
                <w:rFonts w:hint="default"/>
                <w:lang w:bidi="ar"/>
              </w:rPr>
              <w:t>-80</w:t>
            </w:r>
            <w:r>
              <w:rPr>
                <w:rStyle w:val="font21"/>
                <w:rFonts w:hint="default"/>
                <w:lang w:bidi="ar"/>
              </w:rPr>
              <w:t>分为中、</w:t>
            </w:r>
            <w:r>
              <w:rPr>
                <w:rStyle w:val="font21"/>
                <w:rFonts w:hint="default"/>
                <w:lang w:bidi="ar"/>
              </w:rPr>
              <w:t>60</w:t>
            </w:r>
            <w:r>
              <w:rPr>
                <w:rStyle w:val="font21"/>
                <w:rFonts w:hint="default"/>
                <w:lang w:bidi="ar"/>
              </w:rPr>
              <w:t>分以下为差。</w:t>
            </w:r>
          </w:p>
        </w:tc>
      </w:tr>
    </w:tbl>
    <w:p w:rsidR="00190EDE" w:rsidRDefault="00190EDE">
      <w:pPr>
        <w:spacing w:line="480" w:lineRule="exact"/>
        <w:rPr>
          <w:rFonts w:ascii="仿宋_GB2312" w:eastAsia="仿宋_GB2312" w:hAnsi="仿宋_GB2312" w:cs="仿宋_GB2312"/>
          <w:sz w:val="32"/>
          <w:szCs w:val="32"/>
        </w:rPr>
      </w:pPr>
    </w:p>
    <w:tbl>
      <w:tblPr>
        <w:tblW w:w="14010" w:type="dxa"/>
        <w:tblInd w:w="93" w:type="dxa"/>
        <w:tblLook w:val="04A0" w:firstRow="1" w:lastRow="0" w:firstColumn="1" w:lastColumn="0" w:noHBand="0" w:noVBand="1"/>
      </w:tblPr>
      <w:tblGrid>
        <w:gridCol w:w="561"/>
        <w:gridCol w:w="1238"/>
        <w:gridCol w:w="1544"/>
        <w:gridCol w:w="2622"/>
        <w:gridCol w:w="1239"/>
        <w:gridCol w:w="1212"/>
        <w:gridCol w:w="1851"/>
        <w:gridCol w:w="1159"/>
        <w:gridCol w:w="1225"/>
        <w:gridCol w:w="1359"/>
      </w:tblGrid>
      <w:tr w:rsidR="00190EDE" w:rsidTr="0062255B">
        <w:trPr>
          <w:trHeight w:val="420"/>
        </w:trPr>
        <w:tc>
          <w:tcPr>
            <w:tcW w:w="14010" w:type="dxa"/>
            <w:gridSpan w:val="10"/>
            <w:tcBorders>
              <w:top w:val="nil"/>
              <w:left w:val="nil"/>
              <w:bottom w:val="nil"/>
              <w:right w:val="nil"/>
            </w:tcBorders>
            <w:shd w:val="clear" w:color="auto" w:fill="auto"/>
            <w:vAlign w:val="center"/>
          </w:tcPr>
          <w:p w:rsidR="0062255B" w:rsidRDefault="0062255B">
            <w:pPr>
              <w:widowControl/>
              <w:jc w:val="center"/>
              <w:textAlignment w:val="center"/>
              <w:rPr>
                <w:rStyle w:val="font51"/>
                <w:rFonts w:hint="default"/>
                <w:lang w:bidi="ar"/>
              </w:rPr>
            </w:pPr>
          </w:p>
          <w:p w:rsidR="0062255B" w:rsidRDefault="0062255B">
            <w:pPr>
              <w:widowControl/>
              <w:jc w:val="center"/>
              <w:textAlignment w:val="center"/>
              <w:rPr>
                <w:rStyle w:val="font51"/>
                <w:rFonts w:hint="default"/>
                <w:lang w:bidi="ar"/>
              </w:rPr>
            </w:pPr>
          </w:p>
          <w:p w:rsidR="00190EDE" w:rsidRDefault="00772BB2">
            <w:pPr>
              <w:widowControl/>
              <w:jc w:val="center"/>
              <w:textAlignment w:val="center"/>
              <w:rPr>
                <w:rFonts w:ascii="宋体" w:hAnsi="宋体" w:cs="宋体"/>
                <w:b/>
                <w:color w:val="000000"/>
                <w:sz w:val="32"/>
                <w:szCs w:val="32"/>
              </w:rPr>
            </w:pPr>
            <w:r>
              <w:rPr>
                <w:rStyle w:val="font51"/>
                <w:rFonts w:hint="default"/>
                <w:lang w:bidi="ar"/>
              </w:rPr>
              <w:t>项目支出绩效自评表</w:t>
            </w:r>
            <w:r>
              <w:rPr>
                <w:rStyle w:val="font51"/>
                <w:lang w:bidi="ar"/>
              </w:rPr>
              <w:t xml:space="preserve"> </w:t>
            </w:r>
          </w:p>
        </w:tc>
      </w:tr>
      <w:tr w:rsidR="00190EDE" w:rsidTr="0062255B">
        <w:trPr>
          <w:trHeight w:val="435"/>
        </w:trPr>
        <w:tc>
          <w:tcPr>
            <w:tcW w:w="14010" w:type="dxa"/>
            <w:gridSpan w:val="10"/>
            <w:tcBorders>
              <w:top w:val="nil"/>
              <w:left w:val="nil"/>
              <w:bottom w:val="nil"/>
              <w:right w:val="nil"/>
            </w:tcBorders>
            <w:shd w:val="clear" w:color="auto" w:fill="auto"/>
            <w:vAlign w:val="center"/>
          </w:tcPr>
          <w:p w:rsidR="00190EDE" w:rsidRDefault="00772BB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190EDE" w:rsidTr="0062255B">
        <w:trPr>
          <w:trHeight w:val="402"/>
        </w:trPr>
        <w:tc>
          <w:tcPr>
            <w:tcW w:w="33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66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投诉举报业务经费</w:t>
            </w:r>
          </w:p>
        </w:tc>
      </w:tr>
      <w:tr w:rsidR="00190EDE" w:rsidTr="0062255B">
        <w:trPr>
          <w:trHeight w:val="402"/>
        </w:trPr>
        <w:tc>
          <w:tcPr>
            <w:tcW w:w="33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北京市药品监督管理局投诉举报中心</w:t>
            </w:r>
          </w:p>
        </w:tc>
      </w:tr>
      <w:tr w:rsidR="00190EDE" w:rsidTr="0062255B">
        <w:trPr>
          <w:trHeight w:val="402"/>
        </w:trPr>
        <w:tc>
          <w:tcPr>
            <w:tcW w:w="33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裴雪</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37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55527264</w:t>
            </w:r>
          </w:p>
        </w:tc>
      </w:tr>
      <w:tr w:rsidR="00190EDE" w:rsidTr="0062255B">
        <w:trPr>
          <w:trHeight w:val="600"/>
        </w:trPr>
        <w:tc>
          <w:tcPr>
            <w:tcW w:w="334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90EDE" w:rsidTr="0062255B">
        <w:trPr>
          <w:trHeight w:val="402"/>
        </w:trPr>
        <w:tc>
          <w:tcPr>
            <w:tcW w:w="334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90EDE" w:rsidTr="0062255B">
        <w:trPr>
          <w:trHeight w:val="402"/>
        </w:trPr>
        <w:tc>
          <w:tcPr>
            <w:tcW w:w="334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8.97</w:t>
            </w:r>
          </w:p>
        </w:tc>
        <w:tc>
          <w:tcPr>
            <w:tcW w:w="1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trHeight w:val="402"/>
        </w:trPr>
        <w:tc>
          <w:tcPr>
            <w:tcW w:w="334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2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190EDE">
            <w:pPr>
              <w:jc w:val="center"/>
              <w:rPr>
                <w:rFonts w:ascii="宋体" w:hAnsi="宋体" w:cs="宋体"/>
                <w:color w:val="000000"/>
                <w:sz w:val="20"/>
                <w:szCs w:val="20"/>
              </w:rPr>
            </w:pPr>
          </w:p>
        </w:tc>
      </w:tr>
      <w:tr w:rsidR="00190EDE" w:rsidTr="0062255B">
        <w:trPr>
          <w:trHeight w:val="402"/>
        </w:trPr>
        <w:tc>
          <w:tcPr>
            <w:tcW w:w="334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r>
      <w:tr w:rsidR="00190EDE" w:rsidTr="0062255B">
        <w:trPr>
          <w:trHeight w:val="435"/>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年度总体目标</w:t>
            </w:r>
          </w:p>
        </w:tc>
        <w:tc>
          <w:tcPr>
            <w:tcW w:w="7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5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90EDE" w:rsidTr="0062255B">
        <w:trPr>
          <w:trHeight w:val="142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78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通过开展法律咨询、投诉举报业务档案整理等为投诉举报业务提供必要支持，推动我局投诉举报工作“三率”水平不断提升，保障投诉举报业务顺利开展，提升我局监管工作的社会影响力、公信力和群众满意度。</w:t>
            </w:r>
          </w:p>
        </w:tc>
        <w:tc>
          <w:tcPr>
            <w:tcW w:w="55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w:t>
            </w:r>
            <w:r>
              <w:rPr>
                <w:rFonts w:ascii="宋体" w:hAnsi="宋体" w:cs="宋体" w:hint="eastAsia"/>
                <w:color w:val="000000"/>
                <w:kern w:val="0"/>
                <w:sz w:val="20"/>
                <w:szCs w:val="20"/>
                <w:lang w:bidi="ar"/>
              </w:rPr>
              <w:t>年，按计划开展中心年度投诉举报法律咨询服务、投诉举报业务档案归档服务等业务工作。通过项目实施，为投诉举报业务提供必要支持，保障投诉举报业务顺利开展。</w:t>
            </w:r>
          </w:p>
        </w:tc>
      </w:tr>
      <w:tr w:rsidR="00190EDE" w:rsidTr="0062255B">
        <w:trPr>
          <w:trHeight w:val="810"/>
        </w:trPr>
        <w:tc>
          <w:tcPr>
            <w:tcW w:w="56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val="restart"/>
            <w:tcBorders>
              <w:top w:val="single" w:sz="4" w:space="0" w:color="000000"/>
              <w:left w:val="single" w:sz="4" w:space="0" w:color="000000"/>
              <w:bottom w:val="nil"/>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完成投诉举报辅助业务类别</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项</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项</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投诉举报业务服务保障率</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nil"/>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投诉举报业务保障期</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00"/>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评审专家劳务费</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人·次</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人·次</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9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档案整理费用</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9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投诉举报业务法律服务费用</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万元</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r>
              <w:rPr>
                <w:rFonts w:ascii="宋体" w:hAnsi="宋体" w:cs="宋体" w:hint="eastAsia"/>
                <w:color w:val="000000"/>
                <w:kern w:val="0"/>
                <w:sz w:val="20"/>
                <w:szCs w:val="20"/>
                <w:lang w:bidi="ar"/>
              </w:rPr>
              <w:t>万元</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9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项目评审费用</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r>
              <w:rPr>
                <w:rFonts w:ascii="宋体" w:hAnsi="宋体" w:cs="宋体" w:hint="eastAsia"/>
                <w:color w:val="000000"/>
                <w:kern w:val="0"/>
                <w:sz w:val="20"/>
                <w:szCs w:val="20"/>
                <w:lang w:bidi="ar"/>
              </w:rPr>
              <w:t>万元</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r>
              <w:rPr>
                <w:rFonts w:ascii="宋体" w:hAnsi="宋体" w:cs="宋体" w:hint="eastAsia"/>
                <w:color w:val="000000"/>
                <w:kern w:val="0"/>
                <w:sz w:val="20"/>
                <w:szCs w:val="20"/>
                <w:lang w:bidi="ar"/>
              </w:rPr>
              <w:t>万元</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9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1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jc w:val="center"/>
              <w:rPr>
                <w:rFonts w:ascii="宋体" w:hAnsi="宋体" w:cs="宋体"/>
                <w:color w:val="000000"/>
                <w:sz w:val="20"/>
                <w:szCs w:val="20"/>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审计服务费用</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r>
              <w:rPr>
                <w:rFonts w:ascii="宋体" w:hAnsi="宋体" w:cs="宋体" w:hint="eastAsia"/>
                <w:color w:val="000000"/>
                <w:kern w:val="0"/>
                <w:sz w:val="20"/>
                <w:szCs w:val="20"/>
                <w:lang w:bidi="ar"/>
              </w:rPr>
              <w:t>万元</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w:t>
            </w:r>
            <w:r>
              <w:rPr>
                <w:rFonts w:ascii="宋体" w:hAnsi="宋体" w:cs="宋体" w:hint="eastAsia"/>
                <w:color w:val="000000"/>
                <w:kern w:val="0"/>
                <w:sz w:val="20"/>
                <w:szCs w:val="20"/>
                <w:lang w:bidi="ar"/>
              </w:rPr>
              <w:t>万元</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9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tcBorders>
              <w:top w:val="single" w:sz="4" w:space="0" w:color="000000"/>
              <w:left w:val="single" w:sz="4" w:space="0" w:color="000000"/>
              <w:bottom w:val="nil"/>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4" w:type="dxa"/>
            <w:tcBorders>
              <w:top w:val="single" w:sz="4" w:space="0" w:color="000000"/>
              <w:left w:val="single" w:sz="4" w:space="0" w:color="000000"/>
              <w:bottom w:val="nil"/>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通过项目实施，为投诉举报业务提供必要支持，提高投诉举报工作水平</w:t>
            </w:r>
          </w:p>
        </w:tc>
        <w:tc>
          <w:tcPr>
            <w:tcW w:w="24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达到预期目标</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为投诉举报业务提供必要支持，保障投诉举报业务顺利开展</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645"/>
        </w:trPr>
        <w:tc>
          <w:tcPr>
            <w:tcW w:w="56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190EDE" w:rsidRDefault="00190EDE">
            <w:pPr>
              <w:jc w:val="center"/>
              <w:rPr>
                <w:rFonts w:ascii="宋体" w:hAnsi="宋体" w:cs="宋体"/>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委托部门满意度</w:t>
            </w:r>
          </w:p>
        </w:tc>
        <w:tc>
          <w:tcPr>
            <w:tcW w:w="2451" w:type="dxa"/>
            <w:gridSpan w:val="2"/>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851"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9"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25" w:type="dxa"/>
            <w:tcBorders>
              <w:top w:val="nil"/>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color w:val="000000"/>
                <w:sz w:val="20"/>
                <w:szCs w:val="20"/>
              </w:rPr>
            </w:pPr>
          </w:p>
        </w:tc>
      </w:tr>
      <w:tr w:rsidR="00190EDE" w:rsidTr="0062255B">
        <w:trPr>
          <w:trHeight w:val="402"/>
        </w:trPr>
        <w:tc>
          <w:tcPr>
            <w:tcW w:w="1026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772BB2">
            <w:pPr>
              <w:widowControl/>
              <w:jc w:val="right"/>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0EDE" w:rsidRDefault="00190EDE">
            <w:pPr>
              <w:rPr>
                <w:rFonts w:ascii="宋体" w:hAnsi="宋体" w:cs="宋体"/>
                <w:b/>
                <w:color w:val="000000"/>
                <w:sz w:val="20"/>
                <w:szCs w:val="20"/>
              </w:rPr>
            </w:pPr>
          </w:p>
        </w:tc>
      </w:tr>
      <w:tr w:rsidR="00190EDE" w:rsidTr="0062255B">
        <w:trPr>
          <w:trHeight w:val="3030"/>
        </w:trPr>
        <w:tc>
          <w:tcPr>
            <w:tcW w:w="14010" w:type="dxa"/>
            <w:gridSpan w:val="10"/>
            <w:tcBorders>
              <w:top w:val="nil"/>
              <w:left w:val="nil"/>
              <w:bottom w:val="nil"/>
              <w:right w:val="nil"/>
            </w:tcBorders>
            <w:shd w:val="clear" w:color="auto" w:fill="auto"/>
            <w:vAlign w:val="center"/>
          </w:tcPr>
          <w:p w:rsidR="00190EDE" w:rsidRDefault="00772BB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得分一档最高不能超过该指标分值上限。</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2.</w:t>
            </w:r>
            <w:r>
              <w:rPr>
                <w:rFonts w:ascii="宋体" w:hAnsi="宋体" w:cs="宋体" w:hint="eastAsia"/>
                <w:color w:val="000000"/>
                <w:kern w:val="0"/>
                <w:sz w:val="20"/>
                <w:szCs w:val="20"/>
                <w:lang w:bidi="ar"/>
              </w:rPr>
              <w:t>定量指标若为正向指标，则得分计算方法应用全年实际值（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该指标分值；若定量指标为反向指标，则得分计算方法应用年度指标值（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该指标分值。若年初指标值设定偏低，则得分计算方法应用（全年实际值（</w:t>
            </w:r>
            <w:r>
              <w:rPr>
                <w:rFonts w:ascii="宋体" w:hAnsi="宋体" w:cs="宋体" w:hint="eastAsia"/>
                <w:color w:val="000000"/>
                <w:kern w:val="0"/>
                <w:sz w:val="20"/>
                <w:szCs w:val="20"/>
                <w:lang w:bidi="ar"/>
              </w:rPr>
              <w:t>B</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年度指标值（</w:t>
            </w:r>
            <w:r>
              <w:rPr>
                <w:rFonts w:ascii="宋体" w:hAnsi="宋体" w:cs="宋体" w:hint="eastAsia"/>
                <w:color w:val="000000"/>
                <w:kern w:val="0"/>
                <w:sz w:val="20"/>
                <w:szCs w:val="20"/>
                <w:lang w:bidi="ar"/>
              </w:rPr>
              <w:t>A</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。若计算结果在</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200%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10%</w:t>
            </w:r>
            <w:r>
              <w:rPr>
                <w:rFonts w:ascii="宋体" w:hAnsi="宋体" w:cs="宋体" w:hint="eastAsia"/>
                <w:color w:val="000000"/>
                <w:kern w:val="0"/>
                <w:sz w:val="20"/>
                <w:szCs w:val="20"/>
                <w:lang w:bidi="ar"/>
              </w:rPr>
              <w:t>扣分；计算结果在</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300%</w:t>
            </w:r>
            <w:r>
              <w:rPr>
                <w:rFonts w:ascii="宋体" w:hAnsi="宋体" w:cs="宋体" w:hint="eastAsia"/>
                <w:color w:val="000000"/>
                <w:kern w:val="0"/>
                <w:sz w:val="20"/>
                <w:szCs w:val="20"/>
                <w:lang w:bidi="ar"/>
              </w:rPr>
              <w:t>）区间，则按照该指标分值的</w:t>
            </w:r>
            <w:r>
              <w:rPr>
                <w:rFonts w:ascii="宋体" w:hAnsi="宋体" w:cs="宋体" w:hint="eastAsia"/>
                <w:color w:val="000000"/>
                <w:kern w:val="0"/>
                <w:sz w:val="20"/>
                <w:szCs w:val="20"/>
                <w:lang w:bidi="ar"/>
              </w:rPr>
              <w:t>20%</w:t>
            </w:r>
            <w:r>
              <w:rPr>
                <w:rFonts w:ascii="宋体" w:hAnsi="宋体" w:cs="宋体" w:hint="eastAsia"/>
                <w:color w:val="000000"/>
                <w:kern w:val="0"/>
                <w:sz w:val="20"/>
                <w:szCs w:val="20"/>
                <w:lang w:bidi="ar"/>
              </w:rPr>
              <w:t>扣分；计算结果高于</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500%</w:t>
            </w:r>
            <w:r>
              <w:rPr>
                <w:rFonts w:ascii="宋体" w:hAnsi="宋体" w:cs="宋体" w:hint="eastAsia"/>
                <w:color w:val="000000"/>
                <w:kern w:val="0"/>
                <w:sz w:val="20"/>
                <w:szCs w:val="20"/>
                <w:lang w:bidi="ar"/>
              </w:rPr>
              <w:t>），则按照该指标分值的</w:t>
            </w:r>
            <w:r>
              <w:rPr>
                <w:rFonts w:ascii="宋体" w:hAnsi="宋体" w:cs="宋体" w:hint="eastAsia"/>
                <w:color w:val="000000"/>
                <w:kern w:val="0"/>
                <w:sz w:val="20"/>
                <w:szCs w:val="20"/>
                <w:lang w:bidi="ar"/>
              </w:rPr>
              <w:t>30%</w:t>
            </w:r>
            <w:r>
              <w:rPr>
                <w:rFonts w:ascii="宋体" w:hAnsi="宋体" w:cs="宋体" w:hint="eastAsia"/>
                <w:color w:val="000000"/>
                <w:kern w:val="0"/>
                <w:sz w:val="20"/>
                <w:szCs w:val="20"/>
                <w:lang w:bidi="ar"/>
              </w:rPr>
              <w:t>扣分。</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定性指标根据指标完成情况分为：达成预期目标、基本达成预期指标且效果较好、部分达成预期指标且具有一定效果、未达成预期指标且效果</w:t>
            </w:r>
            <w:proofErr w:type="gramStart"/>
            <w:r>
              <w:rPr>
                <w:rFonts w:ascii="宋体" w:hAnsi="宋体" w:cs="宋体" w:hint="eastAsia"/>
                <w:color w:val="000000"/>
                <w:kern w:val="0"/>
                <w:sz w:val="20"/>
                <w:szCs w:val="20"/>
                <w:lang w:bidi="ar"/>
              </w:rPr>
              <w:t>较差四</w:t>
            </w:r>
            <w:proofErr w:type="gramEnd"/>
            <w:r>
              <w:rPr>
                <w:rFonts w:ascii="宋体" w:hAnsi="宋体" w:cs="宋体" w:hint="eastAsia"/>
                <w:color w:val="000000"/>
                <w:kern w:val="0"/>
                <w:sz w:val="20"/>
                <w:szCs w:val="20"/>
                <w:lang w:bidi="ar"/>
              </w:rPr>
              <w:t>档，分别按照该指标对应分值区间</w:t>
            </w:r>
            <w:r>
              <w:rPr>
                <w:rFonts w:ascii="宋体" w:hAnsi="宋体" w:cs="宋体" w:hint="eastAsia"/>
                <w:color w:val="000000"/>
                <w:kern w:val="0"/>
                <w:sz w:val="20"/>
                <w:szCs w:val="20"/>
                <w:lang w:bidi="ar"/>
              </w:rPr>
              <w:t>100-90%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90-75%</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75%</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75-60%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60-0%</w:t>
            </w:r>
            <w:r>
              <w:rPr>
                <w:rFonts w:ascii="宋体" w:hAnsi="宋体" w:cs="宋体" w:hint="eastAsia"/>
                <w:color w:val="000000"/>
                <w:kern w:val="0"/>
                <w:sz w:val="20"/>
                <w:szCs w:val="20"/>
                <w:lang w:bidi="ar"/>
              </w:rPr>
              <w:t>合理确定分值。</w:t>
            </w:r>
            <w:r>
              <w:rPr>
                <w:rFonts w:ascii="宋体" w:hAnsi="宋体" w:cs="宋体" w:hint="eastAsia"/>
                <w:color w:val="000000"/>
                <w:kern w:val="0"/>
                <w:sz w:val="20"/>
                <w:szCs w:val="20"/>
                <w:lang w:bidi="ar"/>
              </w:rPr>
              <w:t xml:space="preserve">                                                                                                  4.</w:t>
            </w:r>
            <w:r>
              <w:rPr>
                <w:rFonts w:ascii="宋体" w:hAnsi="宋体" w:cs="宋体" w:hint="eastAsia"/>
                <w:color w:val="000000"/>
                <w:kern w:val="0"/>
                <w:sz w:val="20"/>
                <w:szCs w:val="20"/>
                <w:lang w:bidi="ar"/>
              </w:rPr>
              <w:t>请在“偏差原因分析及改进措施”中说明偏离目标</w:t>
            </w:r>
            <w:r>
              <w:rPr>
                <w:rFonts w:ascii="宋体" w:hAnsi="宋体" w:cs="宋体" w:hint="eastAsia"/>
                <w:color w:val="000000"/>
                <w:kern w:val="0"/>
                <w:sz w:val="20"/>
                <w:szCs w:val="20"/>
                <w:lang w:bidi="ar"/>
              </w:rPr>
              <w:t>、不能完成目标的原因及拟采取的措施。</w:t>
            </w:r>
            <w:r>
              <w:rPr>
                <w:rFonts w:ascii="宋体" w:hAnsi="宋体" w:cs="宋体" w:hint="eastAsia"/>
                <w:color w:val="000000"/>
                <w:kern w:val="0"/>
                <w:sz w:val="20"/>
                <w:szCs w:val="20"/>
                <w:lang w:bidi="ar"/>
              </w:rPr>
              <w:br/>
              <w:t>5.90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-100</w:t>
            </w:r>
            <w:r>
              <w:rPr>
                <w:rFonts w:ascii="宋体" w:hAnsi="宋体" w:cs="宋体" w:hint="eastAsia"/>
                <w:color w:val="000000"/>
                <w:kern w:val="0"/>
                <w:sz w:val="20"/>
                <w:szCs w:val="20"/>
                <w:lang w:bidi="ar"/>
              </w:rPr>
              <w:t>分为优、</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-90</w:t>
            </w:r>
            <w:r>
              <w:rPr>
                <w:rFonts w:ascii="宋体" w:hAnsi="宋体" w:cs="宋体" w:hint="eastAsia"/>
                <w:color w:val="000000"/>
                <w:kern w:val="0"/>
                <w:sz w:val="20"/>
                <w:szCs w:val="20"/>
                <w:lang w:bidi="ar"/>
              </w:rPr>
              <w:t>分为良、</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（含）</w:t>
            </w:r>
            <w:r>
              <w:rPr>
                <w:rFonts w:ascii="宋体" w:hAnsi="宋体" w:cs="宋体" w:hint="eastAsia"/>
                <w:color w:val="000000"/>
                <w:kern w:val="0"/>
                <w:sz w:val="20"/>
                <w:szCs w:val="20"/>
                <w:lang w:bidi="ar"/>
              </w:rPr>
              <w:t>-80</w:t>
            </w:r>
            <w:r>
              <w:rPr>
                <w:rFonts w:ascii="宋体" w:hAnsi="宋体" w:cs="宋体" w:hint="eastAsia"/>
                <w:color w:val="000000"/>
                <w:kern w:val="0"/>
                <w:sz w:val="20"/>
                <w:szCs w:val="20"/>
                <w:lang w:bidi="ar"/>
              </w:rPr>
              <w:t>分为中、</w:t>
            </w:r>
            <w:r>
              <w:rPr>
                <w:rFonts w:ascii="宋体" w:hAnsi="宋体" w:cs="宋体" w:hint="eastAsia"/>
                <w:color w:val="000000"/>
                <w:kern w:val="0"/>
                <w:sz w:val="20"/>
                <w:szCs w:val="20"/>
                <w:lang w:bidi="ar"/>
              </w:rPr>
              <w:t>60</w:t>
            </w:r>
            <w:r>
              <w:rPr>
                <w:rFonts w:ascii="宋体" w:hAnsi="宋体" w:cs="宋体" w:hint="eastAsia"/>
                <w:color w:val="000000"/>
                <w:kern w:val="0"/>
                <w:sz w:val="20"/>
                <w:szCs w:val="20"/>
                <w:lang w:bidi="ar"/>
              </w:rPr>
              <w:t>分以下为差。</w:t>
            </w:r>
          </w:p>
        </w:tc>
      </w:tr>
    </w:tbl>
    <w:p w:rsidR="00190EDE" w:rsidRDefault="00190EDE">
      <w:pPr>
        <w:pStyle w:val="2"/>
      </w:pPr>
      <w:bookmarkStart w:id="0" w:name="_GoBack"/>
      <w:bookmarkEnd w:id="0"/>
    </w:p>
    <w:p w:rsidR="00190EDE" w:rsidRDefault="00190EDE">
      <w:pPr>
        <w:spacing w:line="480" w:lineRule="exact"/>
      </w:pPr>
    </w:p>
    <w:sectPr w:rsidR="00190EDE">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BB2" w:rsidRDefault="00772BB2">
      <w:r>
        <w:separator/>
      </w:r>
    </w:p>
  </w:endnote>
  <w:endnote w:type="continuationSeparator" w:id="0">
    <w:p w:rsidR="00772BB2" w:rsidRDefault="007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DE" w:rsidRDefault="00772BB2">
    <w:pPr>
      <w:pStyle w:val="a7"/>
      <w:framePr w:wrap="around" w:vAnchor="text" w:hAnchor="margin" w:xAlign="center" w:y="1"/>
      <w:rPr>
        <w:rStyle w:val="ab"/>
      </w:rPr>
    </w:pPr>
    <w:r>
      <w:fldChar w:fldCharType="begin"/>
    </w:r>
    <w:r>
      <w:rPr>
        <w:rStyle w:val="ab"/>
      </w:rPr>
      <w:instrText xml:space="preserve">PAGE  </w:instrText>
    </w:r>
    <w:r>
      <w:fldChar w:fldCharType="separate"/>
    </w:r>
    <w:r w:rsidR="00DF43E0">
      <w:rPr>
        <w:rStyle w:val="ab"/>
        <w:noProof/>
      </w:rPr>
      <w:t>3</w:t>
    </w:r>
    <w:r>
      <w:fldChar w:fldCharType="end"/>
    </w:r>
  </w:p>
  <w:p w:rsidR="00190EDE" w:rsidRDefault="00190ED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DE" w:rsidRDefault="00772BB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190EDE" w:rsidRDefault="00190ED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DE" w:rsidRDefault="00772BB2">
    <w:pPr>
      <w:pStyle w:val="a7"/>
      <w:framePr w:wrap="around" w:vAnchor="text" w:hAnchor="margin" w:xAlign="center" w:y="1"/>
      <w:rPr>
        <w:rStyle w:val="ab"/>
      </w:rPr>
    </w:pPr>
    <w:r>
      <w:fldChar w:fldCharType="begin"/>
    </w:r>
    <w:r>
      <w:rPr>
        <w:rStyle w:val="ab"/>
      </w:rPr>
      <w:instrText xml:space="preserve">PAGE  </w:instrText>
    </w:r>
    <w:r>
      <w:fldChar w:fldCharType="separate"/>
    </w:r>
    <w:r w:rsidR="0062255B">
      <w:rPr>
        <w:rStyle w:val="ab"/>
        <w:noProof/>
      </w:rPr>
      <w:t>13</w:t>
    </w:r>
    <w:r>
      <w:fldChar w:fldCharType="end"/>
    </w:r>
  </w:p>
  <w:p w:rsidR="00190EDE" w:rsidRDefault="00190E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BB2" w:rsidRDefault="00772BB2">
      <w:r>
        <w:separator/>
      </w:r>
    </w:p>
  </w:footnote>
  <w:footnote w:type="continuationSeparator" w:id="0">
    <w:p w:rsidR="00772BB2" w:rsidRDefault="00772B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BFE6C53"/>
    <w:rsid w:val="FC8B9876"/>
    <w:rsid w:val="FEDFF218"/>
    <w:rsid w:val="FEDFFFFF"/>
    <w:rsid w:val="FFFFD53B"/>
    <w:rsid w:val="00003B03"/>
    <w:rsid w:val="000040E6"/>
    <w:rsid w:val="00011D72"/>
    <w:rsid w:val="00027CD5"/>
    <w:rsid w:val="00031B8E"/>
    <w:rsid w:val="00033EC1"/>
    <w:rsid w:val="00034224"/>
    <w:rsid w:val="0004004B"/>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0EDE"/>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10"/>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6F3F"/>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0ECA"/>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255B"/>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2BB2"/>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C1A"/>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3278"/>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3E0"/>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16E8"/>
    <w:rsid w:val="00E41E87"/>
    <w:rsid w:val="00E42425"/>
    <w:rsid w:val="00E43E55"/>
    <w:rsid w:val="00E4554E"/>
    <w:rsid w:val="00E46D22"/>
    <w:rsid w:val="00E4768F"/>
    <w:rsid w:val="00E53C0E"/>
    <w:rsid w:val="00E54F7E"/>
    <w:rsid w:val="00E560CE"/>
    <w:rsid w:val="00E5674E"/>
    <w:rsid w:val="00E63783"/>
    <w:rsid w:val="00E650E2"/>
    <w:rsid w:val="00E75CAD"/>
    <w:rsid w:val="00E76922"/>
    <w:rsid w:val="00E80FDF"/>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51">
    <w:name w:val="font51"/>
    <w:basedOn w:val="a0"/>
    <w:rPr>
      <w:rFonts w:ascii="宋体" w:eastAsia="宋体" w:hAnsi="宋体" w:cs="宋体" w:hint="eastAsia"/>
      <w:b/>
      <w:color w:val="000000"/>
      <w:sz w:val="32"/>
      <w:szCs w:val="32"/>
      <w:u w:val="none"/>
    </w:rPr>
  </w:style>
  <w:style w:type="character" w:customStyle="1" w:styleId="font81">
    <w:name w:val="font81"/>
    <w:basedOn w:val="a0"/>
    <w:rPr>
      <w:rFonts w:ascii="宋体" w:eastAsia="宋体" w:hAnsi="宋体" w:cs="宋体" w:hint="eastAsia"/>
      <w:color w:val="000000"/>
      <w:sz w:val="32"/>
      <w:szCs w:val="32"/>
      <w:u w:val="none"/>
    </w:rPr>
  </w:style>
  <w:style w:type="character" w:customStyle="1" w:styleId="font71">
    <w:name w:val="font71"/>
    <w:basedOn w:val="a0"/>
    <w:rPr>
      <w:rFonts w:ascii="宋体" w:eastAsia="宋体" w:hAnsi="宋体" w:cs="宋体" w:hint="eastAsia"/>
      <w:color w:val="000000"/>
      <w:sz w:val="20"/>
      <w:szCs w:val="20"/>
      <w:u w:val="none"/>
    </w:rPr>
  </w:style>
  <w:style w:type="character" w:customStyle="1" w:styleId="font01">
    <w:name w:val="font01"/>
    <w:basedOn w:val="a0"/>
    <w:rPr>
      <w:rFonts w:ascii="宋体" w:eastAsia="宋体" w:hAnsi="宋体" w:cs="宋体" w:hint="eastAsia"/>
      <w:color w:val="000000"/>
      <w:sz w:val="20"/>
      <w:szCs w:val="20"/>
      <w:u w:val="none"/>
    </w:rPr>
  </w:style>
  <w:style w:type="character" w:customStyle="1" w:styleId="font101">
    <w:name w:val="font101"/>
    <w:basedOn w:val="a0"/>
    <w:rPr>
      <w:rFonts w:ascii="宋体" w:eastAsia="宋体" w:hAnsi="宋体" w:cs="宋体" w:hint="eastAsia"/>
      <w:b/>
      <w:color w:val="000000"/>
      <w:sz w:val="32"/>
      <w:szCs w:val="32"/>
      <w:u w:val="none"/>
    </w:rPr>
  </w:style>
  <w:style w:type="character" w:customStyle="1" w:styleId="font111">
    <w:name w:val="font111"/>
    <w:basedOn w:val="a0"/>
    <w:rPr>
      <w:rFonts w:ascii="宋体" w:eastAsia="宋体" w:hAnsi="宋体" w:cs="宋体" w:hint="eastAsia"/>
      <w:color w:val="000000"/>
      <w:sz w:val="20"/>
      <w:szCs w:val="20"/>
      <w:u w:val="none"/>
    </w:rPr>
  </w:style>
  <w:style w:type="character" w:customStyle="1" w:styleId="font21">
    <w:name w:val="font21"/>
    <w:basedOn w:val="a0"/>
    <w:rPr>
      <w:rFonts w:ascii="宋体" w:eastAsia="宋体" w:hAnsi="宋体" w:cs="宋体" w:hint="eastAsia"/>
      <w:color w:val="000000"/>
      <w:sz w:val="20"/>
      <w:szCs w:val="20"/>
      <w:u w:val="none"/>
    </w:rPr>
  </w:style>
  <w:style w:type="character" w:customStyle="1" w:styleId="font112">
    <w:name w:val="font112"/>
    <w:basedOn w:val="a0"/>
    <w:rPr>
      <w:rFonts w:ascii="宋体" w:eastAsia="宋体" w:hAnsi="宋体" w:cs="宋体" w:hint="eastAsia"/>
      <w:b/>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51">
    <w:name w:val="font51"/>
    <w:basedOn w:val="a0"/>
    <w:rPr>
      <w:rFonts w:ascii="宋体" w:eastAsia="宋体" w:hAnsi="宋体" w:cs="宋体" w:hint="eastAsia"/>
      <w:b/>
      <w:color w:val="000000"/>
      <w:sz w:val="32"/>
      <w:szCs w:val="32"/>
      <w:u w:val="none"/>
    </w:rPr>
  </w:style>
  <w:style w:type="character" w:customStyle="1" w:styleId="font81">
    <w:name w:val="font81"/>
    <w:basedOn w:val="a0"/>
    <w:rPr>
      <w:rFonts w:ascii="宋体" w:eastAsia="宋体" w:hAnsi="宋体" w:cs="宋体" w:hint="eastAsia"/>
      <w:color w:val="000000"/>
      <w:sz w:val="32"/>
      <w:szCs w:val="32"/>
      <w:u w:val="none"/>
    </w:rPr>
  </w:style>
  <w:style w:type="character" w:customStyle="1" w:styleId="font71">
    <w:name w:val="font71"/>
    <w:basedOn w:val="a0"/>
    <w:rPr>
      <w:rFonts w:ascii="宋体" w:eastAsia="宋体" w:hAnsi="宋体" w:cs="宋体" w:hint="eastAsia"/>
      <w:color w:val="000000"/>
      <w:sz w:val="20"/>
      <w:szCs w:val="20"/>
      <w:u w:val="none"/>
    </w:rPr>
  </w:style>
  <w:style w:type="character" w:customStyle="1" w:styleId="font01">
    <w:name w:val="font01"/>
    <w:basedOn w:val="a0"/>
    <w:rPr>
      <w:rFonts w:ascii="宋体" w:eastAsia="宋体" w:hAnsi="宋体" w:cs="宋体" w:hint="eastAsia"/>
      <w:color w:val="000000"/>
      <w:sz w:val="20"/>
      <w:szCs w:val="20"/>
      <w:u w:val="none"/>
    </w:rPr>
  </w:style>
  <w:style w:type="character" w:customStyle="1" w:styleId="font101">
    <w:name w:val="font101"/>
    <w:basedOn w:val="a0"/>
    <w:rPr>
      <w:rFonts w:ascii="宋体" w:eastAsia="宋体" w:hAnsi="宋体" w:cs="宋体" w:hint="eastAsia"/>
      <w:b/>
      <w:color w:val="000000"/>
      <w:sz w:val="32"/>
      <w:szCs w:val="32"/>
      <w:u w:val="none"/>
    </w:rPr>
  </w:style>
  <w:style w:type="character" w:customStyle="1" w:styleId="font111">
    <w:name w:val="font111"/>
    <w:basedOn w:val="a0"/>
    <w:rPr>
      <w:rFonts w:ascii="宋体" w:eastAsia="宋体" w:hAnsi="宋体" w:cs="宋体" w:hint="eastAsia"/>
      <w:color w:val="000000"/>
      <w:sz w:val="20"/>
      <w:szCs w:val="20"/>
      <w:u w:val="none"/>
    </w:rPr>
  </w:style>
  <w:style w:type="character" w:customStyle="1" w:styleId="font21">
    <w:name w:val="font21"/>
    <w:basedOn w:val="a0"/>
    <w:rPr>
      <w:rFonts w:ascii="宋体" w:eastAsia="宋体" w:hAnsi="宋体" w:cs="宋体" w:hint="eastAsia"/>
      <w:color w:val="000000"/>
      <w:sz w:val="20"/>
      <w:szCs w:val="20"/>
      <w:u w:val="none"/>
    </w:rPr>
  </w:style>
  <w:style w:type="character" w:customStyle="1" w:styleId="font112">
    <w:name w:val="font112"/>
    <w:basedOn w:val="a0"/>
    <w:rPr>
      <w:rFonts w:ascii="宋体" w:eastAsia="宋体" w:hAnsi="宋体" w:cs="宋体" w:hint="eastAsia"/>
      <w:b/>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1111.0899999999999</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675.79</c:v>
                </c:pt>
                <c:pt idx="1">
                  <c:v>398.28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1211</Words>
  <Characters>6908</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35</cp:revision>
  <cp:lastPrinted>2020-08-08T03:39:00Z</cp:lastPrinted>
  <dcterms:created xsi:type="dcterms:W3CDTF">2017-07-12T07:16:00Z</dcterms:created>
  <dcterms:modified xsi:type="dcterms:W3CDTF">2025-09-10T08:44:00Z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