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33B" w:rsidRDefault="00BF133B">
      <w:pPr>
        <w:jc w:val="center"/>
        <w:rPr>
          <w:rFonts w:ascii="仿宋_GB2312" w:eastAsia="仿宋_GB2312" w:hint="eastAsia"/>
          <w:b/>
          <w:sz w:val="15"/>
          <w:szCs w:val="15"/>
        </w:rPr>
      </w:pPr>
    </w:p>
    <w:p w:rsidR="00BF133B" w:rsidRDefault="00BF133B">
      <w:pPr>
        <w:jc w:val="center"/>
        <w:rPr>
          <w:rFonts w:ascii="黑体" w:eastAsia="黑体"/>
          <w:sz w:val="72"/>
          <w:szCs w:val="72"/>
        </w:rPr>
      </w:pPr>
    </w:p>
    <w:p w:rsidR="00BF133B" w:rsidRDefault="00BF133B">
      <w:pPr>
        <w:jc w:val="center"/>
        <w:rPr>
          <w:rFonts w:ascii="黑体" w:eastAsia="黑体"/>
          <w:sz w:val="72"/>
          <w:szCs w:val="72"/>
        </w:rPr>
      </w:pPr>
    </w:p>
    <w:p w:rsidR="00BF133B" w:rsidRDefault="00BF133B">
      <w:pPr>
        <w:jc w:val="center"/>
        <w:rPr>
          <w:rFonts w:ascii="黑体" w:eastAsia="黑体"/>
          <w:sz w:val="72"/>
          <w:szCs w:val="72"/>
        </w:rPr>
      </w:pPr>
    </w:p>
    <w:p w:rsidR="00BF133B" w:rsidRDefault="00BF133B">
      <w:pPr>
        <w:jc w:val="center"/>
        <w:rPr>
          <w:rFonts w:ascii="黑体" w:eastAsia="黑体"/>
          <w:sz w:val="72"/>
          <w:szCs w:val="72"/>
        </w:rPr>
      </w:pPr>
    </w:p>
    <w:p w:rsidR="00BF133B" w:rsidRDefault="004C33FB">
      <w:pPr>
        <w:jc w:val="center"/>
        <w:rPr>
          <w:rFonts w:ascii="黑体" w:eastAsia="黑体"/>
          <w:sz w:val="72"/>
          <w:szCs w:val="72"/>
        </w:rPr>
      </w:pPr>
      <w:r>
        <w:rPr>
          <w:rFonts w:ascii="黑体" w:eastAsia="黑体" w:hint="eastAsia"/>
          <w:sz w:val="72"/>
          <w:szCs w:val="72"/>
        </w:rPr>
        <w:t>2024年度单位决算（公开）</w:t>
      </w:r>
    </w:p>
    <w:p w:rsidR="00BF133B" w:rsidRDefault="00BF133B">
      <w:pPr>
        <w:jc w:val="center"/>
        <w:rPr>
          <w:rFonts w:ascii="黑体" w:eastAsia="黑体"/>
          <w:sz w:val="52"/>
          <w:szCs w:val="52"/>
        </w:rPr>
      </w:pPr>
    </w:p>
    <w:p w:rsidR="00BF133B" w:rsidRDefault="00BF133B">
      <w:pPr>
        <w:jc w:val="center"/>
        <w:rPr>
          <w:rFonts w:ascii="黑体" w:eastAsia="黑体"/>
          <w:sz w:val="52"/>
          <w:szCs w:val="52"/>
        </w:rPr>
      </w:pPr>
    </w:p>
    <w:p w:rsidR="00BF133B" w:rsidRDefault="00BF133B">
      <w:pPr>
        <w:jc w:val="center"/>
        <w:rPr>
          <w:rFonts w:ascii="黑体" w:eastAsia="黑体"/>
          <w:sz w:val="52"/>
          <w:szCs w:val="52"/>
        </w:rPr>
      </w:pPr>
    </w:p>
    <w:p w:rsidR="00BF133B" w:rsidRDefault="00BF133B">
      <w:pPr>
        <w:jc w:val="center"/>
        <w:rPr>
          <w:rFonts w:ascii="黑体" w:eastAsia="黑体"/>
          <w:sz w:val="52"/>
          <w:szCs w:val="52"/>
        </w:rPr>
      </w:pPr>
    </w:p>
    <w:p w:rsidR="00BF133B" w:rsidRDefault="00BF133B">
      <w:pPr>
        <w:spacing w:line="500" w:lineRule="exact"/>
        <w:ind w:firstLine="645"/>
        <w:jc w:val="center"/>
        <w:rPr>
          <w:rFonts w:ascii="黑体" w:eastAsia="黑体"/>
          <w:sz w:val="52"/>
          <w:szCs w:val="52"/>
        </w:rPr>
      </w:pPr>
    </w:p>
    <w:p w:rsidR="00BF133B" w:rsidRDefault="004C33F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BF133B" w:rsidRDefault="00BF133B">
      <w:pPr>
        <w:spacing w:line="500" w:lineRule="exact"/>
        <w:ind w:firstLine="645"/>
        <w:jc w:val="center"/>
        <w:rPr>
          <w:rFonts w:ascii="宋体" w:hAnsi="宋体" w:cs="宋体"/>
          <w:b/>
          <w:bCs/>
          <w:kern w:val="0"/>
          <w:sz w:val="36"/>
          <w:szCs w:val="36"/>
        </w:rPr>
      </w:pPr>
    </w:p>
    <w:p w:rsidR="00BF133B" w:rsidRDefault="004C33F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2024年度单位决算报表</w:t>
      </w:r>
    </w:p>
    <w:p w:rsidR="00BF133B" w:rsidRDefault="004C33F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BF133B" w:rsidRDefault="004C33F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BF133B" w:rsidRDefault="004C33F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2024年度单位决算说明</w:t>
      </w:r>
    </w:p>
    <w:p w:rsidR="00BF133B" w:rsidRDefault="004C33F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BF133B" w:rsidRDefault="004C33F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2024年度单位绩效评价情况</w:t>
      </w:r>
    </w:p>
    <w:p w:rsidR="00BF133B" w:rsidRDefault="00BF133B">
      <w:pPr>
        <w:tabs>
          <w:tab w:val="center" w:pos="6979"/>
        </w:tabs>
        <w:spacing w:beforeLines="50" w:before="156" w:afterLines="50" w:after="156"/>
        <w:jc w:val="center"/>
        <w:rPr>
          <w:rFonts w:ascii="宋体" w:hAnsi="宋体" w:cs="宋体"/>
          <w:b/>
          <w:bCs/>
          <w:spacing w:val="40"/>
          <w:kern w:val="0"/>
          <w:sz w:val="32"/>
          <w:szCs w:val="32"/>
        </w:rPr>
      </w:pPr>
    </w:p>
    <w:p w:rsidR="00BF133B" w:rsidRDefault="00BF133B">
      <w:pPr>
        <w:tabs>
          <w:tab w:val="center" w:pos="6979"/>
        </w:tabs>
        <w:spacing w:beforeLines="50" w:before="156" w:afterLines="50" w:after="156"/>
        <w:jc w:val="center"/>
        <w:rPr>
          <w:rFonts w:ascii="宋体" w:hAnsi="宋体" w:cs="宋体"/>
          <w:b/>
          <w:bCs/>
          <w:spacing w:val="40"/>
          <w:kern w:val="0"/>
          <w:sz w:val="32"/>
          <w:szCs w:val="32"/>
        </w:rPr>
      </w:pPr>
    </w:p>
    <w:p w:rsidR="00BF133B" w:rsidRDefault="00BF133B">
      <w:pPr>
        <w:tabs>
          <w:tab w:val="center" w:pos="6979"/>
        </w:tabs>
        <w:spacing w:beforeLines="50" w:before="156" w:afterLines="50" w:after="156"/>
        <w:jc w:val="center"/>
        <w:rPr>
          <w:rFonts w:ascii="宋体" w:hAnsi="宋体" w:cs="宋体"/>
          <w:b/>
          <w:bCs/>
          <w:spacing w:val="40"/>
          <w:kern w:val="0"/>
          <w:sz w:val="32"/>
          <w:szCs w:val="32"/>
        </w:rPr>
      </w:pPr>
    </w:p>
    <w:p w:rsidR="00BF133B" w:rsidRDefault="00BF133B">
      <w:pPr>
        <w:tabs>
          <w:tab w:val="center" w:pos="6979"/>
        </w:tabs>
        <w:spacing w:beforeLines="50" w:before="156" w:afterLines="50" w:after="156"/>
        <w:jc w:val="center"/>
        <w:rPr>
          <w:rFonts w:ascii="宋体" w:hAnsi="宋体" w:cs="宋体"/>
          <w:b/>
          <w:bCs/>
          <w:spacing w:val="40"/>
          <w:kern w:val="0"/>
          <w:sz w:val="32"/>
          <w:szCs w:val="32"/>
        </w:rPr>
      </w:pPr>
    </w:p>
    <w:p w:rsidR="00BF133B" w:rsidRDefault="00BF133B">
      <w:pPr>
        <w:tabs>
          <w:tab w:val="center" w:pos="6979"/>
        </w:tabs>
        <w:spacing w:beforeLines="50" w:before="156" w:afterLines="50" w:after="156"/>
        <w:jc w:val="center"/>
        <w:rPr>
          <w:rFonts w:ascii="宋体" w:hAnsi="宋体" w:cs="宋体"/>
          <w:b/>
          <w:bCs/>
          <w:spacing w:val="40"/>
          <w:kern w:val="0"/>
          <w:sz w:val="32"/>
          <w:szCs w:val="32"/>
        </w:rPr>
      </w:pPr>
    </w:p>
    <w:p w:rsidR="00BF133B" w:rsidRDefault="004C33F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2024年度单位决算报表</w:t>
      </w:r>
    </w:p>
    <w:p w:rsidR="00BF133B" w:rsidRDefault="004C33FB">
      <w:pPr>
        <w:pStyle w:val="2"/>
        <w:rPr>
          <w:b w:val="0"/>
          <w:bCs w:val="0"/>
        </w:rPr>
        <w:sectPr w:rsidR="00BF133B">
          <w:footerReference w:type="default" r:id="rId10"/>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BF133B" w:rsidRDefault="004C33F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2024年度单位决算说明</w:t>
      </w:r>
    </w:p>
    <w:p w:rsidR="00BF133B" w:rsidRDefault="004C33FB" w:rsidP="00CD7F3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BF133B" w:rsidRDefault="004C33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根据《中共北京市委机构编制委员会办公室关于调整设置市市场监管局和市药监局直属机构等事项的通知》（京编办发〔2019〕61号）和《中共北京市药品监督管理局党组关于印发〈北京市药品监督管理局分局职能配置、内设机构和人员编制规定〉的通知》（</w:t>
      </w:r>
      <w:proofErr w:type="gramStart"/>
      <w:r>
        <w:rPr>
          <w:rFonts w:ascii="仿宋_GB2312" w:eastAsia="仿宋_GB2312" w:hint="eastAsia"/>
          <w:sz w:val="28"/>
          <w:szCs w:val="28"/>
        </w:rPr>
        <w:t>京药监</w:t>
      </w:r>
      <w:proofErr w:type="gramEnd"/>
      <w:r>
        <w:rPr>
          <w:rFonts w:ascii="仿宋_GB2312" w:eastAsia="仿宋_GB2312" w:hint="eastAsia"/>
          <w:sz w:val="28"/>
          <w:szCs w:val="28"/>
        </w:rPr>
        <w:t>党组发〔2020〕33号），设立北京市药品监督管理局第五分局，为正处级行政单位，是北京市药品监督管理局直属分局。</w:t>
      </w:r>
    </w:p>
    <w:p w:rsidR="00BF133B" w:rsidRDefault="004C33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主要职责：负责顺义区（含北京天竺综合保税区）、平谷区、密云区药品、医疗器械和化妆品生产，以及药品批发、零售连锁总部，药品医疗器械网络交易服务第三方平台、化妆品电子商务平台经营者监管等工作。</w:t>
      </w:r>
    </w:p>
    <w:p w:rsidR="00BF133B" w:rsidRDefault="004C33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北京市药品监督管理局第五分局内设：办公室、药品生产监管科、医疗器械生产监管科、化妆品监管科、药械流通监管科5个科室。</w:t>
      </w:r>
    </w:p>
    <w:p w:rsidR="00BF133B" w:rsidRDefault="004C33FB" w:rsidP="00CD7F3F">
      <w:pPr>
        <w:pStyle w:val="a0"/>
        <w:ind w:firstLineChars="221" w:firstLine="619"/>
        <w:rPr>
          <w:rFonts w:ascii="仿宋_GB2312" w:eastAsia="仿宋_GB2312"/>
          <w:sz w:val="28"/>
          <w:szCs w:val="28"/>
        </w:rPr>
      </w:pPr>
      <w:r>
        <w:rPr>
          <w:rFonts w:ascii="仿宋_GB2312" w:eastAsia="仿宋_GB2312" w:hint="eastAsia"/>
          <w:sz w:val="28"/>
          <w:szCs w:val="28"/>
        </w:rPr>
        <w:t>本单位无下属单位。</w:t>
      </w:r>
    </w:p>
    <w:p w:rsidR="00BF133B" w:rsidRDefault="004C33F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BF133B" w:rsidRDefault="004C33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1346.63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74.55万元，增长5.86%。</w:t>
      </w:r>
    </w:p>
    <w:p w:rsidR="00BF133B" w:rsidRDefault="004C33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BF133B" w:rsidRDefault="004C33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1295.93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48.45万元，增长3.88%。</w:t>
      </w:r>
    </w:p>
    <w:p w:rsidR="00BF133B" w:rsidRDefault="004C33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1.财政拨款收入</w:t>
      </w:r>
      <w:r>
        <w:rPr>
          <w:rFonts w:ascii="仿宋_GB2312" w:eastAsia="仿宋_GB2312"/>
          <w:sz w:val="28"/>
          <w:szCs w:val="28"/>
        </w:rPr>
        <w:t>1295.93</w:t>
      </w:r>
      <w:r>
        <w:rPr>
          <w:rFonts w:ascii="仿宋_GB2312" w:eastAsia="仿宋_GB2312" w:hint="eastAsia"/>
          <w:sz w:val="28"/>
          <w:szCs w:val="28"/>
        </w:rPr>
        <w:t>万元，占收入合计的100%。其中：一般公共预算财政拨款收入</w:t>
      </w:r>
      <w:r>
        <w:rPr>
          <w:rFonts w:ascii="仿宋_GB2312" w:eastAsia="仿宋_GB2312"/>
          <w:sz w:val="28"/>
          <w:szCs w:val="28"/>
        </w:rPr>
        <w:t>1295.93</w:t>
      </w:r>
      <w:r>
        <w:rPr>
          <w:rFonts w:ascii="仿宋_GB2312" w:eastAsia="仿宋_GB2312" w:hint="eastAsia"/>
          <w:sz w:val="28"/>
          <w:szCs w:val="28"/>
        </w:rPr>
        <w:t>万元，占收入合计</w:t>
      </w:r>
      <w:r>
        <w:rPr>
          <w:rFonts w:ascii="仿宋_GB2312" w:eastAsia="仿宋_GB2312" w:hint="eastAsia"/>
          <w:sz w:val="28"/>
          <w:szCs w:val="28"/>
        </w:rPr>
        <w:lastRenderedPageBreak/>
        <w:t>的100%；政府性基金预算财政拨款收入</w:t>
      </w:r>
      <w:r>
        <w:rPr>
          <w:rFonts w:ascii="仿宋_GB2312" w:eastAsia="仿宋_GB2312"/>
          <w:sz w:val="28"/>
          <w:szCs w:val="28"/>
        </w:rPr>
        <w:t>0</w:t>
      </w:r>
      <w:r>
        <w:rPr>
          <w:rFonts w:ascii="仿宋_GB2312" w:eastAsia="仿宋_GB2312" w:hint="eastAsia"/>
          <w:sz w:val="28"/>
          <w:szCs w:val="28"/>
        </w:rPr>
        <w:t>万元；国有资本经营预算财政拨款收入</w:t>
      </w:r>
      <w:r>
        <w:rPr>
          <w:rFonts w:ascii="仿宋_GB2312" w:eastAsia="仿宋_GB2312"/>
          <w:sz w:val="28"/>
          <w:szCs w:val="28"/>
        </w:rPr>
        <w:t>0</w:t>
      </w:r>
      <w:r>
        <w:rPr>
          <w:rFonts w:ascii="仿宋_GB2312" w:eastAsia="仿宋_GB2312" w:hint="eastAsia"/>
          <w:sz w:val="28"/>
          <w:szCs w:val="28"/>
        </w:rPr>
        <w:t>万元；</w:t>
      </w:r>
    </w:p>
    <w:p w:rsidR="00BF133B" w:rsidRDefault="004C33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w:t>
      </w:r>
    </w:p>
    <w:p w:rsidR="00BF133B" w:rsidRDefault="004C33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w:t>
      </w:r>
    </w:p>
    <w:p w:rsidR="00BF133B" w:rsidRDefault="004C33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w:t>
      </w:r>
    </w:p>
    <w:p w:rsidR="00BF133B" w:rsidRDefault="004C33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w:t>
      </w:r>
    </w:p>
    <w:p w:rsidR="00BF133B" w:rsidRDefault="004C33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w:t>
      </w:r>
    </w:p>
    <w:p w:rsidR="00BF133B" w:rsidRDefault="004C33FB">
      <w:pPr>
        <w:pStyle w:val="2"/>
        <w:jc w:val="center"/>
      </w:pPr>
      <w:r>
        <w:rPr>
          <w:rFonts w:ascii="仿宋_GB2312" w:eastAsia="仿宋_GB2312" w:hint="eastAsia"/>
          <w:color w:val="000000"/>
          <w:sz w:val="32"/>
        </w:rPr>
        <w:t>图1：收入决算</w:t>
      </w:r>
    </w:p>
    <w:p w:rsidR="00BF133B" w:rsidRDefault="004C33FB">
      <w:pPr>
        <w:pStyle w:val="a0"/>
        <w:ind w:firstLine="420"/>
        <w:jc w:val="center"/>
      </w:pPr>
      <w:r>
        <w:rPr>
          <w:noProof/>
        </w:rPr>
        <w:drawing>
          <wp:inline distT="0" distB="0" distL="114300" distR="114300">
            <wp:extent cx="4572000" cy="2743200"/>
            <wp:effectExtent l="4445" t="4445" r="14605" b="14605"/>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F133B" w:rsidRDefault="004C33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BF133B" w:rsidRDefault="004C33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1288.78</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79.34万元，增长6.56%，其中：基本支出</w:t>
      </w:r>
      <w:r>
        <w:rPr>
          <w:rFonts w:ascii="仿宋_GB2312" w:eastAsia="仿宋_GB2312"/>
          <w:sz w:val="28"/>
          <w:szCs w:val="28"/>
        </w:rPr>
        <w:t>894.67</w:t>
      </w:r>
      <w:r>
        <w:rPr>
          <w:rFonts w:ascii="仿宋_GB2312" w:eastAsia="仿宋_GB2312" w:hint="eastAsia"/>
          <w:sz w:val="28"/>
          <w:szCs w:val="28"/>
        </w:rPr>
        <w:t>万元，占支出合计的69.42%；项目支出</w:t>
      </w:r>
      <w:r>
        <w:rPr>
          <w:rFonts w:ascii="仿宋_GB2312" w:eastAsia="仿宋_GB2312"/>
          <w:sz w:val="28"/>
          <w:szCs w:val="28"/>
        </w:rPr>
        <w:t>394.11</w:t>
      </w:r>
      <w:r>
        <w:rPr>
          <w:rFonts w:ascii="仿宋_GB2312" w:eastAsia="仿宋_GB2312" w:hint="eastAsia"/>
          <w:sz w:val="28"/>
          <w:szCs w:val="28"/>
        </w:rPr>
        <w:t>万元，占支出合计的30.58%;上缴上级支出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0</w:t>
      </w:r>
      <w:r>
        <w:rPr>
          <w:rFonts w:ascii="仿宋_GB2312" w:eastAsia="仿宋_GB2312" w:hint="eastAsia"/>
          <w:sz w:val="28"/>
          <w:szCs w:val="28"/>
        </w:rPr>
        <w:t>万元；对附属单位补助支出</w:t>
      </w:r>
      <w:r>
        <w:rPr>
          <w:rFonts w:ascii="仿宋_GB2312" w:eastAsia="仿宋_GB2312"/>
          <w:sz w:val="28"/>
          <w:szCs w:val="28"/>
        </w:rPr>
        <w:t>0</w:t>
      </w:r>
      <w:r>
        <w:rPr>
          <w:rFonts w:ascii="仿宋_GB2312" w:eastAsia="仿宋_GB2312" w:hint="eastAsia"/>
          <w:sz w:val="28"/>
          <w:szCs w:val="28"/>
        </w:rPr>
        <w:t>万元。</w:t>
      </w:r>
    </w:p>
    <w:p w:rsidR="00BF133B" w:rsidRDefault="004C33FB">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BF133B" w:rsidRDefault="004C33FB">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bookmarkStart w:id="0" w:name="_GoBack"/>
      <w:bookmarkEnd w:id="0"/>
    </w:p>
    <w:p w:rsidR="00BF133B" w:rsidRDefault="004C33FB" w:rsidP="00CD7F3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BF133B" w:rsidRDefault="004C33F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1346.63</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79.24万元，增长6.25%。主要原因：正常增人增资，人</w:t>
      </w:r>
      <w:r>
        <w:rPr>
          <w:rFonts w:ascii="仿宋_GB2312" w:eastAsia="仿宋_GB2312" w:hint="eastAsia"/>
          <w:sz w:val="28"/>
          <w:szCs w:val="28"/>
        </w:rPr>
        <w:lastRenderedPageBreak/>
        <w:t>员经费增加；根据工作需要更新执法公务用车。</w:t>
      </w:r>
    </w:p>
    <w:p w:rsidR="00BF133B" w:rsidRDefault="004C33FB" w:rsidP="00CD7F3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BF133B" w:rsidRDefault="004C33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BF133B" w:rsidRDefault="004C33F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1288.78</w:t>
      </w:r>
      <w:r>
        <w:rPr>
          <w:rFonts w:ascii="仿宋_GB2312" w:eastAsia="仿宋_GB2312" w:hint="eastAsia"/>
          <w:sz w:val="28"/>
          <w:szCs w:val="28"/>
        </w:rPr>
        <w:t>万元，主要用于以下方面：一般公共服务支出1128.70万元，占本年财政拨款支出87.58%；</w:t>
      </w:r>
      <w:r>
        <w:rPr>
          <w:rFonts w:ascii="仿宋_GB2312" w:eastAsia="仿宋_GB2312" w:hAnsi="Calibri" w:cs="Calibri" w:hint="eastAsia"/>
          <w:sz w:val="28"/>
          <w:szCs w:val="28"/>
        </w:rPr>
        <w:t>教育支出10.45万元，</w:t>
      </w:r>
      <w:bookmarkStart w:id="1" w:name="OLE_LINK2"/>
      <w:r>
        <w:rPr>
          <w:rFonts w:ascii="仿宋_GB2312" w:eastAsia="仿宋_GB2312" w:hint="eastAsia"/>
          <w:sz w:val="28"/>
          <w:szCs w:val="28"/>
        </w:rPr>
        <w:t>占本年财政拨款支出</w:t>
      </w:r>
      <w:bookmarkEnd w:id="1"/>
      <w:r>
        <w:rPr>
          <w:rFonts w:ascii="仿宋_GB2312" w:eastAsia="仿宋_GB2312" w:hint="eastAsia"/>
          <w:sz w:val="28"/>
          <w:szCs w:val="28"/>
        </w:rPr>
        <w:t>0.81%；社会保障和就业支出87.20万元，占本年财政拨款支出6.77%；卫生健康支出62.44万元，占本年财政拨款支出4.84%。</w:t>
      </w:r>
    </w:p>
    <w:p w:rsidR="00BF133B" w:rsidRDefault="004C33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BF133B" w:rsidRDefault="004C33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1、“一般公共服务支出”2024年度年初预算1072.22万元，2024年度决算1128.70万元，完成年初预算的105.27%。</w:t>
      </w:r>
    </w:p>
    <w:p w:rsidR="00BF133B" w:rsidRDefault="004C33FB">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BF133B" w:rsidRDefault="004C33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“市场监督管理事务”2024年度年初预算1072.22万元，2024年度决算1128.70万元，完成年初预算的105.27%。主要原因：增加药品抽样项目投入。</w:t>
      </w:r>
    </w:p>
    <w:p w:rsidR="00BF133B" w:rsidRDefault="004C33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2、“教育支出”2024年度年初预算10.45万元，2024年度决算10.45万元，完成年初预算的100%。其中：</w:t>
      </w:r>
    </w:p>
    <w:p w:rsidR="00BF133B" w:rsidRDefault="004C33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“进修及培训”2024年度年初预算10.45万元，2024年度决算10.45万元，完成年初预算的100%。</w:t>
      </w:r>
    </w:p>
    <w:p w:rsidR="00BF133B" w:rsidRDefault="004C33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3、“社会保障和就业支出”2024年度年初预算86.66万元，2024年度决算87.20万元，完成年初预算的100.62%。其中：</w:t>
      </w:r>
    </w:p>
    <w:p w:rsidR="00BF133B" w:rsidRDefault="004C33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“行政事业单位养老支出”2024年度年初预算86.66万元，2024年度决算87.20万元，完成年初预算的100.62%。主要</w:t>
      </w:r>
      <w:r>
        <w:rPr>
          <w:rFonts w:ascii="仿宋_GB2312" w:eastAsia="仿宋_GB2312" w:hint="eastAsia"/>
          <w:sz w:val="28"/>
          <w:szCs w:val="28"/>
        </w:rPr>
        <w:lastRenderedPageBreak/>
        <w:t>原因：新增退休人员；落实机关事业单位养老保障政策，按规定正常缴纳养老保险及职业年金。</w:t>
      </w:r>
    </w:p>
    <w:p w:rsidR="00BF133B" w:rsidRDefault="004C33FB">
      <w:pPr>
        <w:autoSpaceDE w:val="0"/>
        <w:autoSpaceDN w:val="0"/>
        <w:adjustRightInd w:val="0"/>
        <w:spacing w:line="580" w:lineRule="exact"/>
        <w:ind w:firstLineChars="250" w:firstLine="700"/>
        <w:jc w:val="left"/>
        <w:rPr>
          <w:rFonts w:ascii="仿宋_GB2312" w:eastAsia="仿宋_GB2312"/>
          <w:sz w:val="28"/>
          <w:szCs w:val="28"/>
        </w:rPr>
      </w:pPr>
      <w:r>
        <w:rPr>
          <w:rFonts w:ascii="仿宋_GB2312" w:eastAsia="仿宋_GB2312" w:hint="eastAsia"/>
          <w:sz w:val="28"/>
          <w:szCs w:val="28"/>
        </w:rPr>
        <w:t>4、“卫生健康支出”2024年度年初预算68万元，2024年度决算62.44万元，</w:t>
      </w:r>
      <w:bookmarkStart w:id="2" w:name="OLE_LINK7"/>
      <w:r>
        <w:rPr>
          <w:rFonts w:ascii="仿宋_GB2312" w:eastAsia="仿宋_GB2312" w:hint="eastAsia"/>
          <w:sz w:val="28"/>
          <w:szCs w:val="28"/>
        </w:rPr>
        <w:t>完成年初预算的91.82%</w:t>
      </w:r>
      <w:bookmarkEnd w:id="2"/>
      <w:r>
        <w:rPr>
          <w:rFonts w:ascii="仿宋_GB2312" w:eastAsia="仿宋_GB2312" w:hint="eastAsia"/>
          <w:sz w:val="28"/>
          <w:szCs w:val="28"/>
        </w:rPr>
        <w:t>。其中：</w:t>
      </w:r>
    </w:p>
    <w:p w:rsidR="00BF133B" w:rsidRDefault="004C33F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“行政事业单位医疗”2024年度年初预算68万元，2024年度决算62.44万元，完成年初预算的91.82%。主要原因：按规定缴纳职工基本医疗保险。</w:t>
      </w:r>
    </w:p>
    <w:p w:rsidR="00BF133B" w:rsidRDefault="004C33FB" w:rsidP="00CD7F3F">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BF133B" w:rsidRDefault="004C33FB" w:rsidP="00CD7F3F">
      <w:pPr>
        <w:pStyle w:val="a0"/>
        <w:spacing w:line="580" w:lineRule="exact"/>
        <w:ind w:firstLineChars="221" w:firstLine="619"/>
        <w:rPr>
          <w:rFonts w:eastAsia="仿宋_GB2312"/>
        </w:rPr>
      </w:pPr>
      <w:r>
        <w:rPr>
          <w:rFonts w:ascii="仿宋_GB2312" w:eastAsia="仿宋_GB2312" w:hint="eastAsia"/>
          <w:sz w:val="28"/>
          <w:szCs w:val="28"/>
        </w:rPr>
        <w:t>本单位无此项支出。</w:t>
      </w:r>
    </w:p>
    <w:p w:rsidR="00BF133B" w:rsidRDefault="004C33FB" w:rsidP="00CD7F3F">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BF133B" w:rsidRDefault="004C33FB" w:rsidP="00CD7F3F">
      <w:pPr>
        <w:pStyle w:val="a0"/>
        <w:spacing w:line="580" w:lineRule="exact"/>
        <w:ind w:firstLineChars="221" w:firstLine="619"/>
        <w:rPr>
          <w:rFonts w:eastAsia="仿宋_GB2312"/>
        </w:rPr>
      </w:pPr>
      <w:r>
        <w:rPr>
          <w:rFonts w:ascii="仿宋_GB2312" w:eastAsia="仿宋_GB2312" w:hint="eastAsia"/>
          <w:sz w:val="28"/>
          <w:szCs w:val="28"/>
        </w:rPr>
        <w:t>本单位无此项经费。</w:t>
      </w:r>
    </w:p>
    <w:p w:rsidR="00BF133B" w:rsidRDefault="004C33FB" w:rsidP="00CD7F3F">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BF133B" w:rsidRDefault="004C33FB" w:rsidP="00CD7F3F">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894.67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BF133B" w:rsidRDefault="004C33FB">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lastRenderedPageBreak/>
        <w:tab/>
      </w:r>
    </w:p>
    <w:p w:rsidR="00BF133B" w:rsidRDefault="004C33FB">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BF133B" w:rsidRDefault="004C33F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BF133B" w:rsidRDefault="004C33FB">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30.62</w:t>
      </w:r>
      <w:r>
        <w:rPr>
          <w:rFonts w:ascii="仿宋_GB2312" w:eastAsia="仿宋_GB2312" w:hint="eastAsia"/>
          <w:sz w:val="28"/>
          <w:szCs w:val="28"/>
        </w:rPr>
        <w:t>万元，比2024年度“三公”经费财政拨款年初预算</w:t>
      </w:r>
      <w:r>
        <w:rPr>
          <w:rFonts w:ascii="仿宋_GB2312" w:eastAsia="仿宋_GB2312"/>
          <w:sz w:val="28"/>
          <w:szCs w:val="28"/>
        </w:rPr>
        <w:t>44.37</w:t>
      </w:r>
      <w:r>
        <w:rPr>
          <w:rFonts w:ascii="仿宋_GB2312" w:eastAsia="仿宋_GB2312" w:hint="eastAsia"/>
          <w:sz w:val="28"/>
          <w:szCs w:val="28"/>
        </w:rPr>
        <w:t>万元减少</w:t>
      </w:r>
      <w:r>
        <w:rPr>
          <w:rFonts w:ascii="仿宋_GB2312" w:eastAsia="仿宋_GB2312"/>
          <w:sz w:val="28"/>
          <w:szCs w:val="28"/>
        </w:rPr>
        <w:t>13.76</w:t>
      </w:r>
      <w:r>
        <w:rPr>
          <w:rFonts w:ascii="仿宋_GB2312" w:eastAsia="仿宋_GB2312" w:hint="eastAsia"/>
          <w:sz w:val="28"/>
          <w:szCs w:val="28"/>
        </w:rPr>
        <w:t>万元。其中：</w:t>
      </w:r>
    </w:p>
    <w:p w:rsidR="00BF133B" w:rsidRDefault="004C33FB">
      <w:pPr>
        <w:tabs>
          <w:tab w:val="left" w:pos="312"/>
        </w:tabs>
        <w:spacing w:line="560" w:lineRule="exact"/>
        <w:ind w:firstLineChars="200" w:firstLine="560"/>
        <w:rPr>
          <w:rFonts w:ascii="仿宋_GB2312" w:eastAsia="仿宋_GB2312"/>
          <w:sz w:val="28"/>
          <w:szCs w:val="28"/>
        </w:rPr>
      </w:pPr>
      <w:r>
        <w:rPr>
          <w:rFonts w:ascii="仿宋_GB2312" w:eastAsia="仿宋_GB2312" w:hint="eastAsia"/>
          <w:sz w:val="28"/>
          <w:szCs w:val="28"/>
        </w:rPr>
        <w:t>1.因公出国（境）费用。2024年度决算数</w:t>
      </w:r>
      <w:r>
        <w:rPr>
          <w:rFonts w:ascii="仿宋_GB2312" w:eastAsia="仿宋_GB2312"/>
          <w:sz w:val="28"/>
          <w:szCs w:val="28"/>
        </w:rPr>
        <w:t>0</w:t>
      </w:r>
      <w:r>
        <w:rPr>
          <w:rFonts w:ascii="仿宋_GB2312" w:eastAsia="仿宋_GB2312" w:hint="eastAsia"/>
          <w:sz w:val="28"/>
          <w:szCs w:val="28"/>
        </w:rPr>
        <w:t>万元，与2024年度年初预算数</w:t>
      </w:r>
      <w:r>
        <w:rPr>
          <w:rFonts w:ascii="仿宋_GB2312" w:eastAsia="仿宋_GB2312"/>
          <w:sz w:val="28"/>
          <w:szCs w:val="28"/>
        </w:rPr>
        <w:t>0</w:t>
      </w:r>
      <w:r>
        <w:rPr>
          <w:rFonts w:ascii="仿宋_GB2312" w:eastAsia="仿宋_GB2312" w:hint="eastAsia"/>
          <w:sz w:val="28"/>
          <w:szCs w:val="28"/>
        </w:rPr>
        <w:t>万元持平。主要原因：全年未安排因公出国（境）任务。</w:t>
      </w:r>
    </w:p>
    <w:p w:rsidR="00BF133B" w:rsidRDefault="004C33FB">
      <w:pPr>
        <w:tabs>
          <w:tab w:val="left" w:pos="312"/>
        </w:tabs>
        <w:spacing w:line="560" w:lineRule="exact"/>
        <w:ind w:firstLineChars="200" w:firstLine="560"/>
        <w:rPr>
          <w:rFonts w:ascii="仿宋_GB2312" w:eastAsia="仿宋_GB2312"/>
          <w:sz w:val="28"/>
          <w:szCs w:val="28"/>
        </w:rPr>
      </w:pPr>
      <w:r>
        <w:rPr>
          <w:rFonts w:ascii="仿宋_GB2312" w:eastAsia="仿宋_GB2312" w:hint="eastAsia"/>
          <w:sz w:val="28"/>
          <w:szCs w:val="28"/>
        </w:rPr>
        <w:t>2.公务接待费。2024年度决算数</w:t>
      </w:r>
      <w:r>
        <w:rPr>
          <w:rFonts w:ascii="仿宋_GB2312" w:eastAsia="仿宋_GB2312"/>
          <w:sz w:val="28"/>
          <w:szCs w:val="28"/>
        </w:rPr>
        <w:t>0</w:t>
      </w:r>
      <w:r>
        <w:rPr>
          <w:rFonts w:ascii="仿宋_GB2312" w:eastAsia="仿宋_GB2312" w:hint="eastAsia"/>
          <w:sz w:val="28"/>
          <w:szCs w:val="28"/>
        </w:rPr>
        <w:t>万元，与2024年度年初预算数持平。主要原因：贯彻落实中央八项规定，严格控制公务接待支出。</w:t>
      </w:r>
    </w:p>
    <w:p w:rsidR="00BF133B" w:rsidRDefault="004C33FB">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30.62</w:t>
      </w:r>
      <w:r>
        <w:rPr>
          <w:rFonts w:ascii="仿宋_GB2312" w:eastAsia="仿宋_GB2312" w:hint="eastAsia"/>
          <w:sz w:val="28"/>
          <w:szCs w:val="28"/>
        </w:rPr>
        <w:t>万元，比2024年度年初预算数</w:t>
      </w:r>
      <w:r>
        <w:rPr>
          <w:rFonts w:ascii="仿宋_GB2312" w:eastAsia="仿宋_GB2312"/>
          <w:sz w:val="28"/>
          <w:szCs w:val="28"/>
        </w:rPr>
        <w:t>44.37</w:t>
      </w:r>
      <w:r>
        <w:rPr>
          <w:rFonts w:ascii="仿宋_GB2312" w:eastAsia="仿宋_GB2312" w:hint="eastAsia"/>
          <w:sz w:val="28"/>
          <w:szCs w:val="28"/>
        </w:rPr>
        <w:t>万元减少</w:t>
      </w:r>
      <w:r>
        <w:rPr>
          <w:rFonts w:ascii="仿宋_GB2312" w:eastAsia="仿宋_GB2312"/>
          <w:sz w:val="28"/>
          <w:szCs w:val="28"/>
        </w:rPr>
        <w:t>13.76</w:t>
      </w:r>
      <w:r>
        <w:rPr>
          <w:rFonts w:ascii="仿宋_GB2312" w:eastAsia="仿宋_GB2312" w:hint="eastAsia"/>
          <w:sz w:val="28"/>
          <w:szCs w:val="28"/>
        </w:rPr>
        <w:t>万元。其中，公务用车购置费2024年度决算数13.80万元，主要原因：本单位严格按照公务车辆购置（更新）计划更新车辆，2024年度购置（更新）1辆。公务用车运行维护费2024年度决算数16.82万元，主要原因：加强公务用车管理，压减相应支出。2024年度公务用车保有量</w:t>
      </w:r>
      <w:r>
        <w:rPr>
          <w:rFonts w:ascii="仿宋_GB2312" w:eastAsia="仿宋_GB2312"/>
          <w:sz w:val="28"/>
          <w:szCs w:val="28"/>
        </w:rPr>
        <w:t>17</w:t>
      </w:r>
      <w:r>
        <w:rPr>
          <w:rFonts w:ascii="仿宋_GB2312" w:eastAsia="仿宋_GB2312" w:hint="eastAsia"/>
          <w:sz w:val="28"/>
          <w:szCs w:val="28"/>
        </w:rPr>
        <w:t>辆。</w:t>
      </w:r>
    </w:p>
    <w:p w:rsidR="00BF133B" w:rsidRDefault="004C33F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BF133B" w:rsidRDefault="004C33FB" w:rsidP="00CD7F3F">
      <w:pPr>
        <w:ind w:firstLineChars="192" w:firstLine="538"/>
        <w:rPr>
          <w:rFonts w:ascii="仿宋_GB2312" w:eastAsia="仿宋_GB2312"/>
          <w:sz w:val="28"/>
          <w:szCs w:val="28"/>
        </w:rPr>
      </w:pPr>
      <w:r>
        <w:rPr>
          <w:rFonts w:ascii="仿宋_GB2312" w:eastAsia="仿宋_GB2312" w:hint="eastAsia"/>
          <w:sz w:val="28"/>
          <w:szCs w:val="28"/>
        </w:rPr>
        <w:t>2024年度机关运行经费支出合计140.00万元，比上年增加7.25万元，增加原因：正常增资，相应增加支出。</w:t>
      </w:r>
    </w:p>
    <w:p w:rsidR="00BF133B" w:rsidRDefault="004C33FB">
      <w:pPr>
        <w:ind w:left="540"/>
        <w:rPr>
          <w:rFonts w:ascii="黑体" w:eastAsia="黑体"/>
          <w:sz w:val="28"/>
          <w:szCs w:val="28"/>
        </w:rPr>
      </w:pPr>
      <w:r>
        <w:rPr>
          <w:rFonts w:ascii="黑体" w:eastAsia="黑体" w:hint="eastAsia"/>
          <w:sz w:val="28"/>
          <w:szCs w:val="28"/>
        </w:rPr>
        <w:t>三、政府采购支出情况</w:t>
      </w:r>
    </w:p>
    <w:p w:rsidR="00BF133B" w:rsidRDefault="004C33FB" w:rsidP="00CD7F3F">
      <w:pPr>
        <w:ind w:firstLineChars="192" w:firstLine="538"/>
        <w:rPr>
          <w:rFonts w:ascii="仿宋_GB2312" w:eastAsia="仿宋_GB2312"/>
          <w:sz w:val="28"/>
          <w:szCs w:val="28"/>
        </w:rPr>
      </w:pPr>
      <w:r>
        <w:rPr>
          <w:rFonts w:ascii="仿宋_GB2312" w:eastAsia="仿宋_GB2312" w:hint="eastAsia"/>
          <w:sz w:val="28"/>
          <w:szCs w:val="28"/>
        </w:rPr>
        <w:lastRenderedPageBreak/>
        <w:t>2024年度政府采购支出总额</w:t>
      </w:r>
      <w:r>
        <w:rPr>
          <w:rFonts w:ascii="仿宋_GB2312" w:eastAsia="仿宋_GB2312"/>
          <w:sz w:val="28"/>
          <w:szCs w:val="28"/>
        </w:rPr>
        <w:t>51</w:t>
      </w:r>
      <w:r>
        <w:rPr>
          <w:rFonts w:ascii="仿宋_GB2312" w:eastAsia="仿宋_GB2312" w:hint="eastAsia"/>
          <w:sz w:val="28"/>
          <w:szCs w:val="28"/>
        </w:rPr>
        <w:t>.00万元，其中：政府采购货物支出</w:t>
      </w:r>
      <w:r>
        <w:rPr>
          <w:rFonts w:ascii="仿宋_GB2312" w:eastAsia="仿宋_GB2312"/>
          <w:sz w:val="28"/>
          <w:szCs w:val="28"/>
        </w:rPr>
        <w:t>18.64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32.36</w:t>
      </w:r>
      <w:r>
        <w:rPr>
          <w:rFonts w:ascii="仿宋_GB2312" w:eastAsia="仿宋_GB2312" w:hint="eastAsia"/>
          <w:sz w:val="28"/>
          <w:szCs w:val="28"/>
        </w:rPr>
        <w:t>万元。授予中小企业合同金额</w:t>
      </w:r>
      <w:r>
        <w:rPr>
          <w:rFonts w:ascii="仿宋_GB2312" w:eastAsia="仿宋_GB2312"/>
          <w:sz w:val="28"/>
          <w:szCs w:val="28"/>
        </w:rPr>
        <w:t>43.96</w:t>
      </w:r>
      <w:r>
        <w:rPr>
          <w:rFonts w:ascii="仿宋_GB2312" w:eastAsia="仿宋_GB2312" w:hint="eastAsia"/>
          <w:sz w:val="28"/>
          <w:szCs w:val="28"/>
        </w:rPr>
        <w:t>万元，占政府采购支出总额的86.20%，其中：授予小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38.14</w:t>
      </w:r>
      <w:r>
        <w:rPr>
          <w:rFonts w:ascii="仿宋_GB2312" w:eastAsia="仿宋_GB2312" w:hint="eastAsia"/>
          <w:sz w:val="28"/>
          <w:szCs w:val="28"/>
        </w:rPr>
        <w:t>万元，占政府采购支出总额的</w:t>
      </w:r>
      <w:r>
        <w:rPr>
          <w:rFonts w:ascii="仿宋_GB2312" w:eastAsia="仿宋_GB2312"/>
          <w:sz w:val="28"/>
          <w:szCs w:val="28"/>
        </w:rPr>
        <w:t>74.77</w:t>
      </w:r>
      <w:r>
        <w:rPr>
          <w:rFonts w:ascii="仿宋_GB2312" w:eastAsia="仿宋_GB2312" w:hint="eastAsia"/>
          <w:sz w:val="28"/>
          <w:szCs w:val="28"/>
        </w:rPr>
        <w:t>%。</w:t>
      </w:r>
    </w:p>
    <w:p w:rsidR="00BF133B" w:rsidRDefault="004C33F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BF133B" w:rsidRDefault="004C33FB">
      <w:pPr>
        <w:ind w:firstLineChars="200" w:firstLine="560"/>
        <w:rPr>
          <w:rFonts w:ascii="仿宋_GB2312" w:eastAsia="仿宋_GB2312"/>
          <w:sz w:val="32"/>
          <w:szCs w:val="32"/>
        </w:rPr>
      </w:pPr>
      <w:r>
        <w:rPr>
          <w:rFonts w:ascii="仿宋_GB2312" w:eastAsia="仿宋_GB2312" w:hint="eastAsia"/>
          <w:sz w:val="28"/>
          <w:szCs w:val="28"/>
        </w:rPr>
        <w:t>截至12月31日，北京市药品监督管理局第五分局共有车辆17台；单位价值100万元（含）以上的设备0台（套）。</w:t>
      </w:r>
    </w:p>
    <w:p w:rsidR="00BF133B" w:rsidRDefault="004C33FB" w:rsidP="00CD7F3F">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BF133B" w:rsidRDefault="004C33FB" w:rsidP="00CD7F3F">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政府购买服务决算156.34</w:t>
      </w:r>
      <w:r>
        <w:rPr>
          <w:rFonts w:ascii="仿宋_GB2312" w:eastAsia="仿宋_GB2312" w:hint="eastAsia"/>
          <w:sz w:val="28"/>
          <w:szCs w:val="28"/>
        </w:rPr>
        <w:t>万元。</w:t>
      </w:r>
    </w:p>
    <w:p w:rsidR="00BF133B" w:rsidRDefault="004C33F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BF133B" w:rsidRDefault="004C33F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BF133B" w:rsidRDefault="004C33F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BF133B" w:rsidRDefault="004C33F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BF133B" w:rsidRDefault="004C33F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w:t>
      </w:r>
      <w:r>
        <w:rPr>
          <w:rFonts w:ascii="仿宋_GB2312" w:eastAsia="仿宋_GB2312" w:hAnsi="宋体" w:hint="eastAsia"/>
          <w:sz w:val="28"/>
          <w:szCs w:val="28"/>
        </w:rPr>
        <w:lastRenderedPageBreak/>
        <w:t>办公及印刷费、邮电费、差旅费、会议费、福利费、日常维修费、专用材料及一般设备购置费、办公用房水电费、办公用房取暖费、办公用房物业管理费、公务用车运行维护费以及其他费用。</w:t>
      </w:r>
    </w:p>
    <w:p w:rsidR="00BF133B" w:rsidRDefault="004C33FB">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BF133B" w:rsidRDefault="004C33FB">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BF133B" w:rsidRDefault="004C33FB">
      <w:pPr>
        <w:spacing w:line="580" w:lineRule="exact"/>
        <w:ind w:firstLineChars="200" w:firstLine="560"/>
        <w:rPr>
          <w:rFonts w:ascii="仿宋_GB2312" w:eastAsia="仿宋_GB2312"/>
          <w:sz w:val="28"/>
          <w:szCs w:val="28"/>
        </w:rPr>
      </w:pPr>
      <w:r>
        <w:rPr>
          <w:rFonts w:ascii="仿宋_GB2312" w:eastAsia="仿宋_GB2312" w:hint="eastAsia"/>
          <w:sz w:val="28"/>
          <w:szCs w:val="28"/>
        </w:rPr>
        <w:t>7.一般公共服务支出（类）市场监督管理事务（款）行政运行（项）：反映行政单位（包括实行公务员管理的事业单位）的基本支出。</w:t>
      </w:r>
    </w:p>
    <w:p w:rsidR="00BF133B" w:rsidRDefault="004C33FB">
      <w:pPr>
        <w:spacing w:line="580" w:lineRule="exact"/>
        <w:ind w:firstLineChars="200" w:firstLine="560"/>
        <w:rPr>
          <w:rFonts w:ascii="仿宋_GB2312" w:eastAsia="仿宋_GB2312"/>
          <w:sz w:val="28"/>
          <w:szCs w:val="28"/>
        </w:rPr>
      </w:pPr>
      <w:r>
        <w:rPr>
          <w:rFonts w:ascii="仿宋_GB2312" w:eastAsia="仿宋_GB2312" w:hint="eastAsia"/>
          <w:sz w:val="28"/>
          <w:szCs w:val="28"/>
        </w:rPr>
        <w:t>8.一般公共服务支出（类）市场监督管理事务（款）药品事务（项）：反映用于药品（含中药、民族药）监督管理方面的支出。</w:t>
      </w:r>
    </w:p>
    <w:p w:rsidR="00BF133B" w:rsidRDefault="004C33FB">
      <w:pPr>
        <w:spacing w:line="580" w:lineRule="exact"/>
        <w:ind w:firstLineChars="200" w:firstLine="560"/>
        <w:rPr>
          <w:rFonts w:ascii="仿宋_GB2312" w:eastAsia="仿宋_GB2312"/>
          <w:sz w:val="28"/>
          <w:szCs w:val="28"/>
        </w:rPr>
      </w:pPr>
      <w:r>
        <w:rPr>
          <w:rFonts w:ascii="仿宋_GB2312" w:eastAsia="仿宋_GB2312" w:hint="eastAsia"/>
          <w:sz w:val="28"/>
          <w:szCs w:val="28"/>
        </w:rPr>
        <w:t>9.一般公共服务支出（类）市场监督管理事务（款）化妆品事务（项）：反映用于化妆品监督管理方面的支出。</w:t>
      </w:r>
    </w:p>
    <w:p w:rsidR="00BF133B" w:rsidRDefault="004C33FB">
      <w:pPr>
        <w:spacing w:line="580" w:lineRule="exact"/>
        <w:ind w:firstLineChars="200" w:firstLine="560"/>
      </w:pPr>
      <w:r>
        <w:rPr>
          <w:rFonts w:ascii="仿宋_GB2312" w:eastAsia="仿宋_GB2312" w:hint="eastAsia"/>
          <w:sz w:val="28"/>
          <w:szCs w:val="28"/>
        </w:rPr>
        <w:t>10.一般公共服务支出（类）市场监督管理事务（款）其他市场监督管理事务（项）：反映用于除上述项目以外其他市场监督管理事务方面的支出。</w:t>
      </w:r>
    </w:p>
    <w:p w:rsidR="00BF133B" w:rsidRDefault="004C33FB">
      <w:pPr>
        <w:spacing w:line="580" w:lineRule="exact"/>
        <w:ind w:firstLineChars="200" w:firstLine="560"/>
        <w:rPr>
          <w:rFonts w:ascii="仿宋_GB2312" w:eastAsia="仿宋_GB2312"/>
          <w:sz w:val="28"/>
          <w:szCs w:val="28"/>
        </w:rPr>
      </w:pPr>
      <w:r>
        <w:rPr>
          <w:rFonts w:ascii="仿宋_GB2312" w:eastAsia="仿宋_GB2312" w:hint="eastAsia"/>
          <w:sz w:val="28"/>
          <w:szCs w:val="28"/>
        </w:rPr>
        <w:t>11.社会保障和就业支出（类）行政事业单位养老支出（款）机关事业单位基本养老保险缴费支出（项）：反映机关事业单位实施养老保险制度由单位缴纳的基本养老保险费支出。</w:t>
      </w:r>
    </w:p>
    <w:p w:rsidR="00BF133B" w:rsidRDefault="004C33FB">
      <w:pPr>
        <w:spacing w:line="580" w:lineRule="exact"/>
        <w:ind w:firstLineChars="200" w:firstLine="560"/>
        <w:rPr>
          <w:rFonts w:ascii="仿宋_GB2312" w:eastAsia="仿宋_GB2312"/>
          <w:sz w:val="28"/>
          <w:szCs w:val="28"/>
        </w:rPr>
      </w:pPr>
      <w:r>
        <w:rPr>
          <w:rFonts w:ascii="仿宋_GB2312" w:eastAsia="仿宋_GB2312" w:hint="eastAsia"/>
          <w:sz w:val="28"/>
          <w:szCs w:val="28"/>
        </w:rPr>
        <w:t>12.社会保障和就业支出（类）行政事业单位养老支出（款）机关事业单位职业年金缴费支出（项）：反映机关事</w:t>
      </w:r>
      <w:r>
        <w:rPr>
          <w:rFonts w:ascii="仿宋_GB2312" w:eastAsia="仿宋_GB2312" w:hint="eastAsia"/>
          <w:sz w:val="28"/>
          <w:szCs w:val="28"/>
        </w:rPr>
        <w:lastRenderedPageBreak/>
        <w:t>业单位实施养老保险制度由单位实际缴纳的职业年金支出。</w:t>
      </w:r>
    </w:p>
    <w:p w:rsidR="00BF133B" w:rsidRDefault="004C33FB">
      <w:pPr>
        <w:spacing w:line="580" w:lineRule="exact"/>
        <w:ind w:firstLineChars="200" w:firstLine="560"/>
        <w:rPr>
          <w:rFonts w:ascii="仿宋_GB2312" w:eastAsia="仿宋_GB2312"/>
          <w:sz w:val="28"/>
          <w:szCs w:val="28"/>
        </w:rPr>
      </w:pPr>
      <w:r>
        <w:rPr>
          <w:rFonts w:ascii="仿宋_GB2312" w:eastAsia="仿宋_GB2312" w:hint="eastAsia"/>
          <w:sz w:val="28"/>
          <w:szCs w:val="28"/>
        </w:rPr>
        <w:t>13.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rsidR="00BF133B" w:rsidRDefault="004C33FB">
      <w:pPr>
        <w:spacing w:line="580" w:lineRule="exact"/>
        <w:ind w:firstLineChars="200" w:firstLine="560"/>
        <w:rPr>
          <w:rFonts w:ascii="仿宋_GB2312" w:eastAsia="仿宋_GB2312"/>
          <w:sz w:val="28"/>
          <w:szCs w:val="28"/>
        </w:rPr>
      </w:pPr>
      <w:r>
        <w:rPr>
          <w:rFonts w:ascii="仿宋_GB2312" w:eastAsia="仿宋_GB2312" w:hint="eastAsia"/>
          <w:sz w:val="28"/>
          <w:szCs w:val="28"/>
        </w:rPr>
        <w:t>14.卫生健康支出（类）行政事业单位医疗（款）公务员医疗补助（项）：反映财政部门安排的公务员医疗补助经费。</w:t>
      </w:r>
    </w:p>
    <w:p w:rsidR="00BF133B" w:rsidRDefault="004C33FB">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15.教育支出（类）进修及培训（款）培训支出（项）：反映各部门安排的用于培训的支出。教育部门的师资培训，党校、行政学院等专业干部教育机构的支出，以及退役士兵、转业士官的培训支出，不在本科目反映。</w:t>
      </w:r>
    </w:p>
    <w:p w:rsidR="00BF133B" w:rsidRDefault="00BF133B">
      <w:pPr>
        <w:rPr>
          <w:rFonts w:ascii="黑体" w:eastAsia="黑体"/>
          <w:sz w:val="32"/>
          <w:szCs w:val="32"/>
        </w:rPr>
      </w:pPr>
    </w:p>
    <w:p w:rsidR="00BF133B" w:rsidRDefault="00BF133B">
      <w:pPr>
        <w:tabs>
          <w:tab w:val="center" w:pos="6979"/>
        </w:tabs>
        <w:spacing w:line="380" w:lineRule="exact"/>
        <w:jc w:val="center"/>
        <w:rPr>
          <w:rFonts w:ascii="宋体" w:hAnsi="宋体" w:cs="宋体"/>
          <w:b/>
          <w:bCs/>
          <w:kern w:val="0"/>
          <w:sz w:val="28"/>
          <w:szCs w:val="28"/>
        </w:rPr>
      </w:pPr>
    </w:p>
    <w:p w:rsidR="00BF133B" w:rsidRDefault="00BF133B">
      <w:pPr>
        <w:tabs>
          <w:tab w:val="center" w:pos="6979"/>
        </w:tabs>
        <w:spacing w:line="380" w:lineRule="exact"/>
        <w:jc w:val="center"/>
        <w:rPr>
          <w:rFonts w:ascii="宋体" w:hAnsi="宋体" w:cs="宋体"/>
          <w:b/>
          <w:bCs/>
          <w:kern w:val="0"/>
          <w:sz w:val="28"/>
          <w:szCs w:val="28"/>
        </w:rPr>
      </w:pPr>
    </w:p>
    <w:p w:rsidR="00BF133B" w:rsidRDefault="00BF133B">
      <w:pPr>
        <w:rPr>
          <w:rFonts w:ascii="黑体" w:eastAsia="黑体"/>
          <w:sz w:val="32"/>
          <w:szCs w:val="32"/>
        </w:rPr>
      </w:pPr>
    </w:p>
    <w:p w:rsidR="00BF133B" w:rsidRDefault="00BF133B">
      <w:pPr>
        <w:ind w:firstLineChars="200" w:firstLine="640"/>
        <w:jc w:val="center"/>
        <w:rPr>
          <w:rFonts w:ascii="黑体" w:eastAsia="黑体"/>
          <w:sz w:val="32"/>
          <w:szCs w:val="32"/>
        </w:rPr>
      </w:pPr>
    </w:p>
    <w:p w:rsidR="00BF133B" w:rsidRDefault="00BF133B">
      <w:pPr>
        <w:pStyle w:val="a0"/>
        <w:ind w:firstLine="420"/>
      </w:pPr>
    </w:p>
    <w:p w:rsidR="00BF133B" w:rsidRDefault="00BF133B">
      <w:pPr>
        <w:pStyle w:val="a0"/>
        <w:ind w:firstLine="420"/>
      </w:pPr>
    </w:p>
    <w:p w:rsidR="00BF133B" w:rsidRDefault="00BF133B">
      <w:pPr>
        <w:pStyle w:val="a0"/>
        <w:ind w:firstLine="420"/>
      </w:pPr>
    </w:p>
    <w:p w:rsidR="00BF133B" w:rsidRDefault="00BF133B">
      <w:pPr>
        <w:pStyle w:val="a0"/>
        <w:ind w:firstLine="420"/>
      </w:pPr>
    </w:p>
    <w:p w:rsidR="00BF133B" w:rsidRDefault="00BF133B">
      <w:pPr>
        <w:pStyle w:val="a0"/>
        <w:ind w:firstLine="420"/>
      </w:pPr>
    </w:p>
    <w:p w:rsidR="00BF133B" w:rsidRDefault="00BF133B">
      <w:pPr>
        <w:pStyle w:val="a0"/>
        <w:ind w:firstLine="420"/>
      </w:pPr>
    </w:p>
    <w:p w:rsidR="00BF133B" w:rsidRDefault="00BF133B">
      <w:pPr>
        <w:pStyle w:val="a0"/>
        <w:ind w:firstLine="420"/>
      </w:pPr>
    </w:p>
    <w:p w:rsidR="00BF133B" w:rsidRDefault="00BF133B">
      <w:pPr>
        <w:pStyle w:val="a0"/>
        <w:ind w:firstLine="420"/>
      </w:pPr>
    </w:p>
    <w:p w:rsidR="00BF133B" w:rsidRDefault="004C33FB">
      <w:pPr>
        <w:ind w:firstLineChars="200" w:firstLine="640"/>
        <w:jc w:val="center"/>
        <w:rPr>
          <w:rFonts w:ascii="黑体" w:eastAsia="黑体"/>
          <w:sz w:val="32"/>
          <w:szCs w:val="32"/>
        </w:rPr>
      </w:pPr>
      <w:r>
        <w:rPr>
          <w:rFonts w:ascii="黑体" w:eastAsia="黑体" w:hint="eastAsia"/>
          <w:sz w:val="32"/>
          <w:szCs w:val="32"/>
        </w:rPr>
        <w:t>第四部分  2024年度单位绩效评价情况</w:t>
      </w:r>
    </w:p>
    <w:p w:rsidR="00BF133B" w:rsidRDefault="00BF133B">
      <w:pPr>
        <w:ind w:firstLineChars="200" w:firstLine="560"/>
        <w:rPr>
          <w:rFonts w:ascii="黑体" w:eastAsia="黑体"/>
          <w:sz w:val="28"/>
          <w:szCs w:val="28"/>
          <w:highlight w:val="yellow"/>
        </w:rPr>
      </w:pPr>
    </w:p>
    <w:p w:rsidR="00BF133B" w:rsidRDefault="004C33FB">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p w:rsidR="00BF133B" w:rsidRDefault="00BF133B">
      <w:pPr>
        <w:pStyle w:val="a0"/>
        <w:ind w:firstLine="560"/>
        <w:rPr>
          <w:rFonts w:ascii="黑体" w:eastAsia="黑体"/>
          <w:sz w:val="28"/>
          <w:szCs w:val="28"/>
        </w:rPr>
      </w:pPr>
    </w:p>
    <w:tbl>
      <w:tblPr>
        <w:tblW w:w="13845" w:type="dxa"/>
        <w:tblLayout w:type="fixed"/>
        <w:tblCellMar>
          <w:left w:w="0" w:type="dxa"/>
          <w:right w:w="0" w:type="dxa"/>
        </w:tblCellMar>
        <w:tblLook w:val="04A0" w:firstRow="1" w:lastRow="0" w:firstColumn="1" w:lastColumn="0" w:noHBand="0" w:noVBand="1"/>
      </w:tblPr>
      <w:tblGrid>
        <w:gridCol w:w="555"/>
        <w:gridCol w:w="1245"/>
        <w:gridCol w:w="1545"/>
        <w:gridCol w:w="2250"/>
        <w:gridCol w:w="1305"/>
        <w:gridCol w:w="1500"/>
        <w:gridCol w:w="1695"/>
        <w:gridCol w:w="1155"/>
        <w:gridCol w:w="1230"/>
        <w:gridCol w:w="1365"/>
      </w:tblGrid>
      <w:tr w:rsidR="00BF133B">
        <w:trPr>
          <w:trHeight w:val="405"/>
        </w:trPr>
        <w:tc>
          <w:tcPr>
            <w:tcW w:w="13845" w:type="dxa"/>
            <w:gridSpan w:val="10"/>
            <w:tcBorders>
              <w:top w:val="nil"/>
              <w:left w:val="nil"/>
              <w:bottom w:val="nil"/>
              <w:right w:val="nil"/>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BF133B">
        <w:trPr>
          <w:trHeight w:val="435"/>
        </w:trPr>
        <w:tc>
          <w:tcPr>
            <w:tcW w:w="13845" w:type="dxa"/>
            <w:gridSpan w:val="10"/>
            <w:tcBorders>
              <w:top w:val="nil"/>
              <w:left w:val="nil"/>
              <w:bottom w:val="nil"/>
              <w:right w:val="nil"/>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（2024年度）</w:t>
            </w:r>
          </w:p>
        </w:tc>
      </w:tr>
      <w:tr w:rsidR="00BF133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公务用车购置（五分局）</w:t>
            </w:r>
          </w:p>
        </w:tc>
      </w:tr>
      <w:tr w:rsidR="00BF133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北京市药品监督管理局第五分局</w:t>
            </w:r>
          </w:p>
        </w:tc>
      </w:tr>
      <w:tr w:rsidR="00BF133B">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BF133B">
        <w:trPr>
          <w:trHeight w:val="129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通过实施项目，保障公务用车正常使用，顺利完成辖区内“两品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械”监管工作。</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公务用车正常使用，保障顺利完成辖区内“两品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械”监管工作。</w:t>
            </w:r>
          </w:p>
        </w:tc>
      </w:tr>
      <w:tr w:rsidR="00BF133B">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采购数量</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≥1台</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1台</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车辆验收合格率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采购期限</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公务用车购置成本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color w:val="000000"/>
                <w:kern w:val="0"/>
                <w:sz w:val="20"/>
                <w:szCs w:val="20"/>
                <w:lang w:bidi="ar"/>
              </w:rPr>
              <w:t>≤</w:t>
            </w:r>
            <w:r>
              <w:rPr>
                <w:rFonts w:ascii="宋体" w:hAnsi="宋体" w:cs="宋体" w:hint="eastAsia"/>
                <w:color w:val="000000"/>
                <w:kern w:val="0"/>
                <w:sz w:val="20"/>
                <w:szCs w:val="20"/>
                <w:lang w:bidi="ar"/>
              </w:rPr>
              <w:t>13.8</w:t>
            </w:r>
            <w:r>
              <w:rPr>
                <w:rFonts w:ascii="宋体" w:hAnsi="宋体" w:cs="宋体"/>
                <w:color w:val="000000"/>
                <w:kern w:val="0"/>
                <w:sz w:val="20"/>
                <w:szCs w:val="20"/>
                <w:lang w:bidi="ar"/>
              </w:rPr>
              <w:t>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为日常监督检查工作提供保障</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得到有力保障</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为日常监督检查工作提供保障100%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使用单位满意度</w:t>
            </w:r>
          </w:p>
        </w:tc>
        <w:tc>
          <w:tcPr>
            <w:tcW w:w="2805"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69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15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b/>
                <w:color w:val="000000"/>
                <w:sz w:val="20"/>
                <w:szCs w:val="20"/>
              </w:rPr>
            </w:pPr>
          </w:p>
        </w:tc>
      </w:tr>
    </w:tbl>
    <w:p w:rsidR="00BF133B" w:rsidRDefault="00BF133B">
      <w:pPr>
        <w:pStyle w:val="a0"/>
        <w:ind w:firstLineChars="0" w:firstLine="0"/>
      </w:pPr>
    </w:p>
    <w:p w:rsidR="00BF133B" w:rsidRDefault="00BF133B">
      <w:pPr>
        <w:pStyle w:val="a0"/>
        <w:ind w:firstLineChars="0" w:firstLine="0"/>
      </w:pPr>
    </w:p>
    <w:p w:rsidR="00BF133B" w:rsidRDefault="00BF133B">
      <w:pPr>
        <w:pStyle w:val="a0"/>
        <w:ind w:firstLineChars="0" w:firstLine="0"/>
      </w:pPr>
    </w:p>
    <w:p w:rsidR="00BF133B" w:rsidRDefault="00BF133B">
      <w:pPr>
        <w:pStyle w:val="a0"/>
        <w:ind w:firstLineChars="0" w:firstLine="0"/>
      </w:pPr>
    </w:p>
    <w:tbl>
      <w:tblPr>
        <w:tblW w:w="13845" w:type="dxa"/>
        <w:tblLayout w:type="fixed"/>
        <w:tblCellMar>
          <w:left w:w="0" w:type="dxa"/>
          <w:right w:w="0" w:type="dxa"/>
        </w:tblCellMar>
        <w:tblLook w:val="04A0" w:firstRow="1" w:lastRow="0" w:firstColumn="1" w:lastColumn="0" w:noHBand="0" w:noVBand="1"/>
      </w:tblPr>
      <w:tblGrid>
        <w:gridCol w:w="555"/>
        <w:gridCol w:w="1245"/>
        <w:gridCol w:w="1545"/>
        <w:gridCol w:w="2250"/>
        <w:gridCol w:w="1305"/>
        <w:gridCol w:w="1500"/>
        <w:gridCol w:w="1695"/>
        <w:gridCol w:w="1155"/>
        <w:gridCol w:w="1230"/>
        <w:gridCol w:w="1365"/>
      </w:tblGrid>
      <w:tr w:rsidR="00BF133B">
        <w:trPr>
          <w:trHeight w:val="405"/>
        </w:trPr>
        <w:tc>
          <w:tcPr>
            <w:tcW w:w="13845" w:type="dxa"/>
            <w:gridSpan w:val="10"/>
            <w:tcBorders>
              <w:top w:val="nil"/>
              <w:left w:val="nil"/>
              <w:bottom w:val="nil"/>
              <w:right w:val="nil"/>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BF133B">
        <w:trPr>
          <w:trHeight w:val="435"/>
        </w:trPr>
        <w:tc>
          <w:tcPr>
            <w:tcW w:w="13845" w:type="dxa"/>
            <w:gridSpan w:val="10"/>
            <w:tcBorders>
              <w:top w:val="nil"/>
              <w:left w:val="nil"/>
              <w:bottom w:val="nil"/>
              <w:right w:val="nil"/>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（2024年度）</w:t>
            </w:r>
          </w:p>
        </w:tc>
      </w:tr>
      <w:tr w:rsidR="00BF133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第五分局“两品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械”监管宣传经费</w:t>
            </w:r>
          </w:p>
        </w:tc>
      </w:tr>
      <w:tr w:rsidR="00BF133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北京市药品监督管理局第五分局</w:t>
            </w:r>
          </w:p>
        </w:tc>
      </w:tr>
      <w:tr w:rsidR="00BF133B">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29.94</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29.94</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29.94</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29.94</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29.94</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29.94</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BF133B">
        <w:trPr>
          <w:trHeight w:val="159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通过实施项目，做好药品、医疗器械、化妆品法律法规和安全</w:t>
            </w:r>
            <w:proofErr w:type="gramStart"/>
            <w:r>
              <w:rPr>
                <w:rFonts w:ascii="宋体" w:hAnsi="宋体" w:cs="宋体" w:hint="eastAsia"/>
                <w:color w:val="000000"/>
                <w:kern w:val="0"/>
                <w:sz w:val="20"/>
                <w:szCs w:val="20"/>
                <w:lang w:bidi="ar"/>
              </w:rPr>
              <w:t>知识公益</w:t>
            </w:r>
            <w:proofErr w:type="gramEnd"/>
            <w:r>
              <w:rPr>
                <w:rFonts w:ascii="宋体" w:hAnsi="宋体" w:cs="宋体" w:hint="eastAsia"/>
                <w:color w:val="000000"/>
                <w:kern w:val="0"/>
                <w:sz w:val="20"/>
                <w:szCs w:val="20"/>
                <w:lang w:bidi="ar"/>
              </w:rPr>
              <w:t>科普宣传，贯彻、实施“两品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械”监督管理方面的法律、法规、规章和政策性规定；提高公众两品</w:t>
            </w:r>
            <w:proofErr w:type="gramStart"/>
            <w:r>
              <w:rPr>
                <w:rFonts w:ascii="宋体" w:hAnsi="宋体" w:cs="宋体" w:hint="eastAsia"/>
                <w:color w:val="000000"/>
                <w:kern w:val="0"/>
                <w:sz w:val="20"/>
                <w:szCs w:val="20"/>
                <w:lang w:bidi="ar"/>
              </w:rPr>
              <w:t>一械安全</w:t>
            </w:r>
            <w:proofErr w:type="gramEnd"/>
            <w:r>
              <w:rPr>
                <w:rFonts w:ascii="宋体" w:hAnsi="宋体" w:cs="宋体" w:hint="eastAsia"/>
                <w:color w:val="000000"/>
                <w:kern w:val="0"/>
                <w:sz w:val="20"/>
                <w:szCs w:val="20"/>
                <w:lang w:bidi="ar"/>
              </w:rPr>
              <w:t>意识。</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制作普法科普等宣传视频6条,完成医疗器械化妆品助企服务宣传等2次，开展</w:t>
            </w:r>
            <w:proofErr w:type="gramStart"/>
            <w:r>
              <w:rPr>
                <w:rFonts w:ascii="宋体" w:hAnsi="宋体" w:cs="宋体" w:hint="eastAsia"/>
                <w:color w:val="000000"/>
                <w:kern w:val="0"/>
                <w:sz w:val="20"/>
                <w:szCs w:val="20"/>
                <w:lang w:bidi="ar"/>
              </w:rPr>
              <w:t>辖区毒麻精放</w:t>
            </w:r>
            <w:proofErr w:type="gramEnd"/>
            <w:r>
              <w:rPr>
                <w:rFonts w:ascii="宋体" w:hAnsi="宋体" w:cs="宋体" w:hint="eastAsia"/>
                <w:color w:val="000000"/>
                <w:kern w:val="0"/>
                <w:sz w:val="20"/>
                <w:szCs w:val="20"/>
                <w:lang w:bidi="ar"/>
              </w:rPr>
              <w:t>企业禁毒宣传1次，配合药品、医疗器械、化妆品质</w:t>
            </w:r>
            <w:proofErr w:type="gramStart"/>
            <w:r>
              <w:rPr>
                <w:rFonts w:ascii="宋体" w:hAnsi="宋体" w:cs="宋体" w:hint="eastAsia"/>
                <w:color w:val="000000"/>
                <w:kern w:val="0"/>
                <w:sz w:val="20"/>
                <w:szCs w:val="20"/>
                <w:lang w:bidi="ar"/>
              </w:rPr>
              <w:t>量安全月开展</w:t>
            </w:r>
            <w:proofErr w:type="gramEnd"/>
            <w:r>
              <w:rPr>
                <w:rFonts w:ascii="宋体" w:hAnsi="宋体" w:cs="宋体" w:hint="eastAsia"/>
                <w:color w:val="000000"/>
                <w:kern w:val="0"/>
                <w:sz w:val="20"/>
                <w:szCs w:val="20"/>
                <w:lang w:bidi="ar"/>
              </w:rPr>
              <w:t>相关宣传活动4次。</w:t>
            </w:r>
          </w:p>
        </w:tc>
      </w:tr>
      <w:tr w:rsidR="00BF133B">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开展普法宣传活动</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≥4场次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4场次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宣传材料符合合同要求</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96%</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药品、医疗器械、化妆品监管宣传项目预算控制数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≤29.94万元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29.94万元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宣传视频制作平均成本</w:t>
            </w:r>
          </w:p>
        </w:tc>
        <w:tc>
          <w:tcPr>
            <w:tcW w:w="2805"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≤5万元/</w:t>
            </w:r>
            <w:proofErr w:type="gramStart"/>
            <w:r>
              <w:rPr>
                <w:rFonts w:ascii="宋体" w:hAnsi="宋体" w:cs="宋体" w:hint="eastAsia"/>
                <w:color w:val="000000"/>
                <w:kern w:val="0"/>
                <w:sz w:val="20"/>
                <w:szCs w:val="20"/>
                <w:lang w:bidi="ar"/>
              </w:rPr>
              <w:t>个</w:t>
            </w:r>
            <w:proofErr w:type="gramEnd"/>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5万元/</w:t>
            </w:r>
            <w:proofErr w:type="gramStart"/>
            <w:r>
              <w:rPr>
                <w:rFonts w:ascii="宋体" w:hAnsi="宋体" w:cs="宋体" w:hint="eastAsia"/>
                <w:color w:val="000000"/>
                <w:kern w:val="0"/>
                <w:sz w:val="20"/>
                <w:szCs w:val="20"/>
                <w:lang w:bidi="ar"/>
              </w:rPr>
              <w:t>个</w:t>
            </w:r>
            <w:proofErr w:type="gramEnd"/>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739"/>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宣传“两品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械”法律法规安全知识，提升两品</w:t>
            </w:r>
            <w:proofErr w:type="gramStart"/>
            <w:r>
              <w:rPr>
                <w:rFonts w:ascii="宋体" w:hAnsi="宋体" w:cs="宋体" w:hint="eastAsia"/>
                <w:color w:val="000000"/>
                <w:kern w:val="0"/>
                <w:sz w:val="20"/>
                <w:szCs w:val="20"/>
                <w:lang w:bidi="ar"/>
              </w:rPr>
              <w:t>一械安全</w:t>
            </w:r>
            <w:proofErr w:type="gramEnd"/>
            <w:r>
              <w:rPr>
                <w:rFonts w:ascii="宋体" w:hAnsi="宋体" w:cs="宋体" w:hint="eastAsia"/>
                <w:color w:val="000000"/>
                <w:kern w:val="0"/>
                <w:sz w:val="20"/>
                <w:szCs w:val="20"/>
                <w:lang w:bidi="ar"/>
              </w:rPr>
              <w:t>意识</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有所提高</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宣传覆盖率98%</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b/>
                <w:color w:val="000000"/>
                <w:sz w:val="20"/>
                <w:szCs w:val="20"/>
              </w:rPr>
            </w:pPr>
          </w:p>
        </w:tc>
      </w:tr>
    </w:tbl>
    <w:p w:rsidR="00BF133B" w:rsidRDefault="00BF133B">
      <w:pPr>
        <w:pStyle w:val="a0"/>
        <w:ind w:firstLineChars="0" w:firstLine="0"/>
      </w:pPr>
    </w:p>
    <w:p w:rsidR="00BF133B" w:rsidRDefault="00BF133B">
      <w:pPr>
        <w:pStyle w:val="a0"/>
        <w:ind w:firstLineChars="0" w:firstLine="0"/>
      </w:pPr>
    </w:p>
    <w:p w:rsidR="00BF133B" w:rsidRDefault="00BF133B">
      <w:pPr>
        <w:pStyle w:val="a0"/>
        <w:ind w:firstLineChars="0" w:firstLine="0"/>
      </w:pPr>
    </w:p>
    <w:tbl>
      <w:tblPr>
        <w:tblW w:w="13845" w:type="dxa"/>
        <w:tblLayout w:type="fixed"/>
        <w:tblCellMar>
          <w:left w:w="0" w:type="dxa"/>
          <w:right w:w="0" w:type="dxa"/>
        </w:tblCellMar>
        <w:tblLook w:val="04A0" w:firstRow="1" w:lastRow="0" w:firstColumn="1" w:lastColumn="0" w:noHBand="0" w:noVBand="1"/>
      </w:tblPr>
      <w:tblGrid>
        <w:gridCol w:w="555"/>
        <w:gridCol w:w="1245"/>
        <w:gridCol w:w="1545"/>
        <w:gridCol w:w="2250"/>
        <w:gridCol w:w="1305"/>
        <w:gridCol w:w="1500"/>
        <w:gridCol w:w="1695"/>
        <w:gridCol w:w="1155"/>
        <w:gridCol w:w="1230"/>
        <w:gridCol w:w="1365"/>
      </w:tblGrid>
      <w:tr w:rsidR="00BF133B">
        <w:trPr>
          <w:trHeight w:val="405"/>
        </w:trPr>
        <w:tc>
          <w:tcPr>
            <w:tcW w:w="13845" w:type="dxa"/>
            <w:gridSpan w:val="10"/>
            <w:tcBorders>
              <w:top w:val="nil"/>
              <w:left w:val="nil"/>
              <w:bottom w:val="nil"/>
              <w:right w:val="nil"/>
            </w:tcBorders>
            <w:shd w:val="clear" w:color="auto" w:fill="auto"/>
            <w:tcMar>
              <w:top w:w="15" w:type="dxa"/>
              <w:left w:w="15" w:type="dxa"/>
              <w:right w:w="15" w:type="dxa"/>
            </w:tcMar>
            <w:vAlign w:val="center"/>
          </w:tcPr>
          <w:p w:rsidR="00BF133B" w:rsidRDefault="00BF133B">
            <w:pPr>
              <w:widowControl/>
              <w:jc w:val="center"/>
              <w:textAlignment w:val="center"/>
              <w:rPr>
                <w:rFonts w:ascii="宋体" w:hAnsi="宋体" w:cs="宋体"/>
                <w:b/>
                <w:color w:val="000000"/>
                <w:kern w:val="0"/>
                <w:sz w:val="32"/>
                <w:szCs w:val="32"/>
                <w:lang w:bidi="ar"/>
              </w:rPr>
            </w:pPr>
          </w:p>
          <w:p w:rsidR="00BF133B" w:rsidRDefault="004C33F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BF133B">
        <w:trPr>
          <w:trHeight w:val="435"/>
        </w:trPr>
        <w:tc>
          <w:tcPr>
            <w:tcW w:w="13845" w:type="dxa"/>
            <w:gridSpan w:val="10"/>
            <w:tcBorders>
              <w:top w:val="nil"/>
              <w:left w:val="nil"/>
              <w:bottom w:val="nil"/>
              <w:right w:val="nil"/>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（2024年度）</w:t>
            </w:r>
          </w:p>
        </w:tc>
      </w:tr>
      <w:tr w:rsidR="00BF133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五分局“两品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械”业务培训</w:t>
            </w:r>
          </w:p>
        </w:tc>
      </w:tr>
      <w:tr w:rsidR="00BF133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北京市药品监督管理局第五分局</w:t>
            </w:r>
          </w:p>
        </w:tc>
      </w:tr>
      <w:tr w:rsidR="00BF133B">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10.45</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10.45</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10.45</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10.45</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10.45</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10.45</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BF133B">
        <w:trPr>
          <w:trHeight w:val="17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通过实施项目，对辖区内药品、医疗器械、化妆品生产和流通等企业开展法律、法规等培训，进一步规范辖区药品、医疗器械、化妆品生产和流通企业生产经营行为，压实企业主体责任。</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通过开展不少于四次培训活动，对辖区内药品、医疗器械、化妆品生产和流通等企业开展法律、法规等培训，培训覆盖率不低于80%，进一步规范辖区药品、医疗器械、化妆品生产和流通企业生产经营行为，压实企业主体责任。开展线下培训5次，聘请讲师10人，培训521人，企业覆盖率85.75%。</w:t>
            </w:r>
          </w:p>
        </w:tc>
      </w:tr>
      <w:tr w:rsidR="00BF133B">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开展培训活动</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监管对象培训覆盖率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培训项目实施期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培训预算控制数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≤10.45万元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10.45万元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人均培训费</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≤550元/天</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550元/天</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监管对象整体素质和企业管理水平</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定性</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有提高</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参加培训人员满意度</w:t>
            </w:r>
          </w:p>
        </w:tc>
        <w:tc>
          <w:tcPr>
            <w:tcW w:w="2805"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69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16"/>
                <w:szCs w:val="16"/>
              </w:rPr>
            </w:pPr>
          </w:p>
        </w:tc>
      </w:tr>
      <w:tr w:rsidR="00BF133B">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b/>
                <w:color w:val="000000"/>
                <w:sz w:val="20"/>
                <w:szCs w:val="20"/>
              </w:rPr>
            </w:pPr>
          </w:p>
        </w:tc>
      </w:tr>
      <w:tr w:rsidR="00BF133B">
        <w:trPr>
          <w:trHeight w:val="405"/>
        </w:trPr>
        <w:tc>
          <w:tcPr>
            <w:tcW w:w="13845" w:type="dxa"/>
            <w:gridSpan w:val="10"/>
            <w:tcBorders>
              <w:top w:val="nil"/>
              <w:left w:val="nil"/>
              <w:bottom w:val="nil"/>
              <w:right w:val="nil"/>
            </w:tcBorders>
            <w:shd w:val="clear" w:color="auto" w:fill="auto"/>
            <w:tcMar>
              <w:top w:w="15" w:type="dxa"/>
              <w:left w:w="15" w:type="dxa"/>
              <w:right w:w="15" w:type="dxa"/>
            </w:tcMar>
            <w:vAlign w:val="center"/>
          </w:tcPr>
          <w:p w:rsidR="00BF133B" w:rsidRDefault="00BF133B">
            <w:pPr>
              <w:widowControl/>
              <w:jc w:val="center"/>
              <w:textAlignment w:val="center"/>
              <w:rPr>
                <w:rFonts w:ascii="宋体" w:hAnsi="宋体" w:cs="宋体"/>
                <w:b/>
                <w:color w:val="000000"/>
                <w:kern w:val="0"/>
                <w:sz w:val="32"/>
                <w:szCs w:val="32"/>
                <w:lang w:bidi="ar"/>
              </w:rPr>
            </w:pPr>
          </w:p>
          <w:p w:rsidR="00BF133B" w:rsidRDefault="00BF133B">
            <w:pPr>
              <w:widowControl/>
              <w:jc w:val="center"/>
              <w:textAlignment w:val="center"/>
              <w:rPr>
                <w:rFonts w:ascii="宋体" w:hAnsi="宋体" w:cs="宋体"/>
                <w:b/>
                <w:color w:val="000000"/>
                <w:kern w:val="0"/>
                <w:sz w:val="32"/>
                <w:szCs w:val="32"/>
                <w:lang w:bidi="ar"/>
              </w:rPr>
            </w:pPr>
          </w:p>
          <w:p w:rsidR="00BF133B" w:rsidRDefault="00BF133B">
            <w:pPr>
              <w:widowControl/>
              <w:jc w:val="center"/>
              <w:textAlignment w:val="center"/>
              <w:rPr>
                <w:rFonts w:ascii="宋体" w:hAnsi="宋体" w:cs="宋体"/>
                <w:b/>
                <w:color w:val="000000"/>
                <w:kern w:val="0"/>
                <w:sz w:val="32"/>
                <w:szCs w:val="32"/>
                <w:lang w:bidi="ar"/>
              </w:rPr>
            </w:pPr>
          </w:p>
          <w:p w:rsidR="00BF133B" w:rsidRDefault="004C33F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BF133B">
        <w:trPr>
          <w:trHeight w:val="435"/>
        </w:trPr>
        <w:tc>
          <w:tcPr>
            <w:tcW w:w="13845" w:type="dxa"/>
            <w:gridSpan w:val="10"/>
            <w:tcBorders>
              <w:top w:val="nil"/>
              <w:left w:val="nil"/>
              <w:bottom w:val="nil"/>
              <w:right w:val="nil"/>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（2024年度）</w:t>
            </w:r>
          </w:p>
        </w:tc>
      </w:tr>
      <w:tr w:rsidR="00BF133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药品、医疗器械、化妆品市级监督抽验经费（五分局）</w:t>
            </w:r>
          </w:p>
        </w:tc>
      </w:tr>
      <w:tr w:rsidR="00BF133B">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北京市药品监督管理局第五分局</w:t>
            </w:r>
          </w:p>
        </w:tc>
      </w:tr>
      <w:tr w:rsidR="00BF133B">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114.190000 </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188.447370 </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188.444737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114.190000 </w:t>
            </w: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188.447370 </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188.444737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r>
      <w:tr w:rsidR="00BF133B">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BF133B">
        <w:trPr>
          <w:trHeight w:val="163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按照市药监</w:t>
            </w:r>
            <w:proofErr w:type="gramEnd"/>
            <w:r>
              <w:rPr>
                <w:rFonts w:ascii="宋体" w:hAnsi="宋体" w:cs="宋体" w:hint="eastAsia"/>
                <w:color w:val="000000"/>
                <w:kern w:val="0"/>
                <w:sz w:val="20"/>
                <w:szCs w:val="20"/>
                <w:lang w:bidi="ar"/>
              </w:rPr>
              <w:t>局制定的《北京市2024年药品（含药包材）、医疗器械、化妆品质量抽查检验工作实施方案》工作任务、职责分工，以及《中华人民共和国药品管理法》有关药品抽样应当购买样品的规定，由直属分局负责承担市级抽检工作中属地企业样品抽样工作。第五分局预计承担辖区内500批市级药品抽样、化妆品市级抽样60批的工作.</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2024年第五分局完成500批市级药品抽样、60批化妆品市级抽样。</w:t>
            </w:r>
          </w:p>
        </w:tc>
      </w:tr>
      <w:tr w:rsidR="00BF133B">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辖区内药品、化妆品抽样批次</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≥560批次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560批次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9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顺义、平谷、密云3个辖区药品、化妆品抽样率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BF133B" w:rsidRDefault="00BF133B">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完成期限</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预算控制数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188.44737万元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118.441737万元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保证辖区内药品、化妆品安全稳定。</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rsidR="00BF133B" w:rsidRDefault="00BF133B">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“两品</w:t>
            </w:r>
            <w:proofErr w:type="gramStart"/>
            <w:r>
              <w:rPr>
                <w:rFonts w:ascii="宋体" w:hAnsi="宋体" w:cs="宋体" w:hint="eastAsia"/>
                <w:color w:val="000000"/>
                <w:kern w:val="0"/>
                <w:sz w:val="20"/>
                <w:szCs w:val="20"/>
                <w:lang w:bidi="ar"/>
              </w:rPr>
              <w:t>一</w:t>
            </w:r>
            <w:proofErr w:type="gramEnd"/>
            <w:r>
              <w:rPr>
                <w:rFonts w:ascii="宋体" w:hAnsi="宋体" w:cs="宋体" w:hint="eastAsia"/>
                <w:color w:val="000000"/>
                <w:kern w:val="0"/>
                <w:sz w:val="20"/>
                <w:szCs w:val="20"/>
                <w:lang w:bidi="ar"/>
              </w:rPr>
              <w:t>械”安全公众满意度</w:t>
            </w:r>
          </w:p>
        </w:tc>
        <w:tc>
          <w:tcPr>
            <w:tcW w:w="2805"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≥85%</w:t>
            </w:r>
          </w:p>
        </w:tc>
        <w:tc>
          <w:tcPr>
            <w:tcW w:w="169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155"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color w:val="000000"/>
                <w:sz w:val="20"/>
                <w:szCs w:val="20"/>
              </w:rPr>
            </w:pPr>
          </w:p>
        </w:tc>
      </w:tr>
      <w:tr w:rsidR="00BF133B">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4C33F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F133B" w:rsidRDefault="00BF133B">
            <w:pPr>
              <w:rPr>
                <w:rFonts w:ascii="宋体" w:hAnsi="宋体" w:cs="宋体"/>
                <w:b/>
                <w:color w:val="000000"/>
                <w:sz w:val="20"/>
                <w:szCs w:val="20"/>
              </w:rPr>
            </w:pPr>
          </w:p>
        </w:tc>
      </w:tr>
    </w:tbl>
    <w:p w:rsidR="00BF133B" w:rsidRDefault="00BF133B">
      <w:pPr>
        <w:pStyle w:val="a0"/>
        <w:ind w:firstLineChars="0" w:firstLine="0"/>
      </w:pPr>
    </w:p>
    <w:sectPr w:rsidR="00BF133B">
      <w:footerReference w:type="even" r:id="rId13"/>
      <w:footerReference w:type="default" r:id="rId14"/>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E37" w:rsidRDefault="00AF0E37">
      <w:r>
        <w:separator/>
      </w:r>
    </w:p>
  </w:endnote>
  <w:endnote w:type="continuationSeparator" w:id="0">
    <w:p w:rsidR="00AF0E37" w:rsidRDefault="00AF0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33B" w:rsidRDefault="004C33FB">
    <w:pPr>
      <w:pStyle w:val="a7"/>
      <w:framePr w:wrap="around" w:vAnchor="text" w:hAnchor="margin" w:xAlign="center" w:y="1"/>
      <w:rPr>
        <w:rStyle w:val="ab"/>
      </w:rPr>
    </w:pPr>
    <w:r>
      <w:fldChar w:fldCharType="begin"/>
    </w:r>
    <w:r>
      <w:rPr>
        <w:rStyle w:val="ab"/>
      </w:rPr>
      <w:instrText xml:space="preserve">PAGE  </w:instrText>
    </w:r>
    <w:r>
      <w:fldChar w:fldCharType="separate"/>
    </w:r>
    <w:r w:rsidR="001E6259">
      <w:rPr>
        <w:rStyle w:val="ab"/>
        <w:noProof/>
      </w:rPr>
      <w:t>3</w:t>
    </w:r>
    <w:r>
      <w:fldChar w:fldCharType="end"/>
    </w:r>
  </w:p>
  <w:p w:rsidR="00BF133B" w:rsidRDefault="00BF133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33B" w:rsidRDefault="004C33FB">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BF133B" w:rsidRDefault="00BF133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33B" w:rsidRDefault="004C33FB">
    <w:pPr>
      <w:pStyle w:val="a7"/>
      <w:framePr w:wrap="around" w:vAnchor="text" w:hAnchor="margin" w:xAlign="center" w:y="1"/>
      <w:rPr>
        <w:rStyle w:val="ab"/>
      </w:rPr>
    </w:pPr>
    <w:r>
      <w:fldChar w:fldCharType="begin"/>
    </w:r>
    <w:r>
      <w:rPr>
        <w:rStyle w:val="ab"/>
      </w:rPr>
      <w:instrText xml:space="preserve">PAGE  </w:instrText>
    </w:r>
    <w:r>
      <w:fldChar w:fldCharType="separate"/>
    </w:r>
    <w:r w:rsidR="001E6259">
      <w:rPr>
        <w:rStyle w:val="ab"/>
        <w:noProof/>
      </w:rPr>
      <w:t>6</w:t>
    </w:r>
    <w:r>
      <w:fldChar w:fldCharType="end"/>
    </w:r>
  </w:p>
  <w:p w:rsidR="00BF133B" w:rsidRDefault="00BF133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E37" w:rsidRDefault="00AF0E37">
      <w:r>
        <w:separator/>
      </w:r>
    </w:p>
  </w:footnote>
  <w:footnote w:type="continuationSeparator" w:id="0">
    <w:p w:rsidR="00AF0E37" w:rsidRDefault="00AF0E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17E16"/>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E75F0"/>
    <w:rsid w:val="000E77EC"/>
    <w:rsid w:val="000F08FE"/>
    <w:rsid w:val="000F208B"/>
    <w:rsid w:val="000F2A48"/>
    <w:rsid w:val="000F49BE"/>
    <w:rsid w:val="000F739E"/>
    <w:rsid w:val="00100246"/>
    <w:rsid w:val="0010682D"/>
    <w:rsid w:val="001073C6"/>
    <w:rsid w:val="00107DB5"/>
    <w:rsid w:val="00113613"/>
    <w:rsid w:val="0011483D"/>
    <w:rsid w:val="00115724"/>
    <w:rsid w:val="001210E2"/>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0B03"/>
    <w:rsid w:val="001B1DF9"/>
    <w:rsid w:val="001B1E93"/>
    <w:rsid w:val="001B375E"/>
    <w:rsid w:val="001B4A46"/>
    <w:rsid w:val="001B5E87"/>
    <w:rsid w:val="001B5E91"/>
    <w:rsid w:val="001B69BF"/>
    <w:rsid w:val="001B7988"/>
    <w:rsid w:val="001D5669"/>
    <w:rsid w:val="001D78D9"/>
    <w:rsid w:val="001E0556"/>
    <w:rsid w:val="001E2355"/>
    <w:rsid w:val="001E2379"/>
    <w:rsid w:val="001E29A9"/>
    <w:rsid w:val="001E6259"/>
    <w:rsid w:val="001F5857"/>
    <w:rsid w:val="001F622A"/>
    <w:rsid w:val="00206EC3"/>
    <w:rsid w:val="0021047C"/>
    <w:rsid w:val="00211E4E"/>
    <w:rsid w:val="00213D1C"/>
    <w:rsid w:val="00214C3A"/>
    <w:rsid w:val="00217517"/>
    <w:rsid w:val="00222628"/>
    <w:rsid w:val="002253CB"/>
    <w:rsid w:val="002267A6"/>
    <w:rsid w:val="002306B4"/>
    <w:rsid w:val="002326DE"/>
    <w:rsid w:val="00234314"/>
    <w:rsid w:val="00235311"/>
    <w:rsid w:val="002378D2"/>
    <w:rsid w:val="00241724"/>
    <w:rsid w:val="0024390C"/>
    <w:rsid w:val="002441F4"/>
    <w:rsid w:val="00244204"/>
    <w:rsid w:val="002448A4"/>
    <w:rsid w:val="00245191"/>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3C47"/>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17FD8"/>
    <w:rsid w:val="0042093C"/>
    <w:rsid w:val="004233DD"/>
    <w:rsid w:val="00424405"/>
    <w:rsid w:val="00425B25"/>
    <w:rsid w:val="00425D24"/>
    <w:rsid w:val="00426A4D"/>
    <w:rsid w:val="00427687"/>
    <w:rsid w:val="00433231"/>
    <w:rsid w:val="004334CA"/>
    <w:rsid w:val="0043506A"/>
    <w:rsid w:val="00435830"/>
    <w:rsid w:val="0043619C"/>
    <w:rsid w:val="00440F80"/>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33FB"/>
    <w:rsid w:val="004C44B8"/>
    <w:rsid w:val="004C7629"/>
    <w:rsid w:val="004D0D5D"/>
    <w:rsid w:val="004E27DD"/>
    <w:rsid w:val="004E3350"/>
    <w:rsid w:val="004E5292"/>
    <w:rsid w:val="004F2C5B"/>
    <w:rsid w:val="004F508D"/>
    <w:rsid w:val="004F641B"/>
    <w:rsid w:val="004F71F3"/>
    <w:rsid w:val="005052FA"/>
    <w:rsid w:val="005069E1"/>
    <w:rsid w:val="00507E59"/>
    <w:rsid w:val="005122B5"/>
    <w:rsid w:val="0052381C"/>
    <w:rsid w:val="005346B3"/>
    <w:rsid w:val="0054051C"/>
    <w:rsid w:val="00546A84"/>
    <w:rsid w:val="00547BE2"/>
    <w:rsid w:val="0055353D"/>
    <w:rsid w:val="0056187C"/>
    <w:rsid w:val="00564D62"/>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6AB"/>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2D66"/>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2871"/>
    <w:rsid w:val="007428F0"/>
    <w:rsid w:val="007512EF"/>
    <w:rsid w:val="007551AC"/>
    <w:rsid w:val="0076101C"/>
    <w:rsid w:val="007612A3"/>
    <w:rsid w:val="00763D87"/>
    <w:rsid w:val="00764EE1"/>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4D0"/>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CC1"/>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48D3"/>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697D"/>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328"/>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123A"/>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0AC"/>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77CEA"/>
    <w:rsid w:val="00A83AA1"/>
    <w:rsid w:val="00A906F4"/>
    <w:rsid w:val="00A9343A"/>
    <w:rsid w:val="00A9706C"/>
    <w:rsid w:val="00A97B34"/>
    <w:rsid w:val="00AA1B5C"/>
    <w:rsid w:val="00AA7A27"/>
    <w:rsid w:val="00AB36FF"/>
    <w:rsid w:val="00AB3FB0"/>
    <w:rsid w:val="00AB465D"/>
    <w:rsid w:val="00AB713D"/>
    <w:rsid w:val="00AC114C"/>
    <w:rsid w:val="00AC1478"/>
    <w:rsid w:val="00AC6C2D"/>
    <w:rsid w:val="00AC6E17"/>
    <w:rsid w:val="00AD2FF3"/>
    <w:rsid w:val="00AD7764"/>
    <w:rsid w:val="00AD7FE2"/>
    <w:rsid w:val="00AE1284"/>
    <w:rsid w:val="00AE1B18"/>
    <w:rsid w:val="00AE69EE"/>
    <w:rsid w:val="00AE7339"/>
    <w:rsid w:val="00AF0E37"/>
    <w:rsid w:val="00AF1B0B"/>
    <w:rsid w:val="00AF242C"/>
    <w:rsid w:val="00AF3CC4"/>
    <w:rsid w:val="00B05903"/>
    <w:rsid w:val="00B12C7A"/>
    <w:rsid w:val="00B12E10"/>
    <w:rsid w:val="00B22BC3"/>
    <w:rsid w:val="00B232F4"/>
    <w:rsid w:val="00B25865"/>
    <w:rsid w:val="00B272B6"/>
    <w:rsid w:val="00B2771B"/>
    <w:rsid w:val="00B336E9"/>
    <w:rsid w:val="00B33AE5"/>
    <w:rsid w:val="00B35BE5"/>
    <w:rsid w:val="00B46965"/>
    <w:rsid w:val="00B5280B"/>
    <w:rsid w:val="00B52C0A"/>
    <w:rsid w:val="00B54ED0"/>
    <w:rsid w:val="00B55D47"/>
    <w:rsid w:val="00B6204E"/>
    <w:rsid w:val="00B649EC"/>
    <w:rsid w:val="00B728DD"/>
    <w:rsid w:val="00B72D43"/>
    <w:rsid w:val="00B74121"/>
    <w:rsid w:val="00B80ABA"/>
    <w:rsid w:val="00B859FF"/>
    <w:rsid w:val="00B85C1B"/>
    <w:rsid w:val="00B85FF0"/>
    <w:rsid w:val="00B86150"/>
    <w:rsid w:val="00B8700C"/>
    <w:rsid w:val="00B878F9"/>
    <w:rsid w:val="00B9044A"/>
    <w:rsid w:val="00B919A9"/>
    <w:rsid w:val="00B960F3"/>
    <w:rsid w:val="00B96A31"/>
    <w:rsid w:val="00BA05E6"/>
    <w:rsid w:val="00BA19B0"/>
    <w:rsid w:val="00BA51B0"/>
    <w:rsid w:val="00BA6319"/>
    <w:rsid w:val="00BB6DAE"/>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133B"/>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524C"/>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0728"/>
    <w:rsid w:val="00CB17F8"/>
    <w:rsid w:val="00CB1BBE"/>
    <w:rsid w:val="00CB65DB"/>
    <w:rsid w:val="00CB6BD9"/>
    <w:rsid w:val="00CC293A"/>
    <w:rsid w:val="00CD7F3F"/>
    <w:rsid w:val="00CE19F6"/>
    <w:rsid w:val="00CE6B76"/>
    <w:rsid w:val="00CF366B"/>
    <w:rsid w:val="00CF5D9D"/>
    <w:rsid w:val="00CF606C"/>
    <w:rsid w:val="00CF68B0"/>
    <w:rsid w:val="00CF7423"/>
    <w:rsid w:val="00D001F5"/>
    <w:rsid w:val="00D03E80"/>
    <w:rsid w:val="00D04528"/>
    <w:rsid w:val="00D05DD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3B40"/>
    <w:rsid w:val="00D742E2"/>
    <w:rsid w:val="00D7580E"/>
    <w:rsid w:val="00D75AC3"/>
    <w:rsid w:val="00D87DAF"/>
    <w:rsid w:val="00D9446D"/>
    <w:rsid w:val="00DA2994"/>
    <w:rsid w:val="00DB08E8"/>
    <w:rsid w:val="00DB0DED"/>
    <w:rsid w:val="00DB3073"/>
    <w:rsid w:val="00DB3BA9"/>
    <w:rsid w:val="00DB50FE"/>
    <w:rsid w:val="00DB5EDA"/>
    <w:rsid w:val="00DC2349"/>
    <w:rsid w:val="00DC3026"/>
    <w:rsid w:val="00DD1EDB"/>
    <w:rsid w:val="00DD4C28"/>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4215"/>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52FD"/>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05F3"/>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76B33"/>
    <w:rsid w:val="02F120AB"/>
    <w:rsid w:val="032B5196"/>
    <w:rsid w:val="03CA717E"/>
    <w:rsid w:val="04C3537C"/>
    <w:rsid w:val="079004AC"/>
    <w:rsid w:val="0BA148CA"/>
    <w:rsid w:val="0C1165C4"/>
    <w:rsid w:val="0CCF26F1"/>
    <w:rsid w:val="0D6D544B"/>
    <w:rsid w:val="0DD136FE"/>
    <w:rsid w:val="0F8E2C57"/>
    <w:rsid w:val="1059665E"/>
    <w:rsid w:val="10AC13BA"/>
    <w:rsid w:val="145A6C1B"/>
    <w:rsid w:val="14B73493"/>
    <w:rsid w:val="167A2FF9"/>
    <w:rsid w:val="18581C69"/>
    <w:rsid w:val="1AEC0734"/>
    <w:rsid w:val="1AED41B2"/>
    <w:rsid w:val="1C33181D"/>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0A914CC"/>
    <w:rsid w:val="51DB3C59"/>
    <w:rsid w:val="550C0952"/>
    <w:rsid w:val="55762E42"/>
    <w:rsid w:val="57A7B272"/>
    <w:rsid w:val="58470068"/>
    <w:rsid w:val="58747CAC"/>
    <w:rsid w:val="59F45604"/>
    <w:rsid w:val="5A1720F9"/>
    <w:rsid w:val="5B9C37C2"/>
    <w:rsid w:val="5BA7C654"/>
    <w:rsid w:val="60A54109"/>
    <w:rsid w:val="61D01CDF"/>
    <w:rsid w:val="64C0607C"/>
    <w:rsid w:val="65756C86"/>
    <w:rsid w:val="674D385B"/>
    <w:rsid w:val="676F09E1"/>
    <w:rsid w:val="6F9F37D3"/>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61">
    <w:name w:val="font61"/>
    <w:basedOn w:val="a1"/>
    <w:qFormat/>
    <w:rPr>
      <w:rFonts w:ascii="宋体" w:eastAsia="宋体" w:hAnsi="宋体" w:cs="宋体" w:hint="eastAsia"/>
      <w:b/>
      <w:color w:val="000000"/>
      <w:sz w:val="32"/>
      <w:szCs w:val="32"/>
      <w:u w:val="none"/>
    </w:rPr>
  </w:style>
  <w:style w:type="character" w:customStyle="1" w:styleId="font01">
    <w:name w:val="font01"/>
    <w:basedOn w:val="a1"/>
    <w:qFormat/>
    <w:rPr>
      <w:rFonts w:ascii="宋体" w:eastAsia="宋体" w:hAnsi="宋体" w:cs="宋体" w:hint="eastAsia"/>
      <w:color w:val="000000"/>
      <w:sz w:val="32"/>
      <w:szCs w:val="32"/>
      <w:u w:val="none"/>
    </w:rPr>
  </w:style>
  <w:style w:type="character" w:customStyle="1" w:styleId="font81">
    <w:name w:val="font81"/>
    <w:basedOn w:val="a1"/>
    <w:qFormat/>
    <w:rPr>
      <w:rFonts w:ascii="宋体" w:eastAsia="宋体" w:hAnsi="宋体" w:cs="宋体" w:hint="eastAsia"/>
      <w:color w:val="000000"/>
      <w:sz w:val="20"/>
      <w:szCs w:val="20"/>
      <w:u w:val="none"/>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101">
    <w:name w:val="font101"/>
    <w:basedOn w:val="a1"/>
    <w:qFormat/>
    <w:rPr>
      <w:rFonts w:ascii="宋体" w:eastAsia="宋体" w:hAnsi="宋体" w:cs="宋体" w:hint="eastAsia"/>
      <w:color w:val="000000"/>
      <w:sz w:val="20"/>
      <w:szCs w:val="20"/>
      <w:u w:val="none"/>
    </w:rPr>
  </w:style>
  <w:style w:type="character" w:customStyle="1" w:styleId="font71">
    <w:name w:val="font71"/>
    <w:basedOn w:val="a1"/>
    <w:qFormat/>
    <w:rPr>
      <w:rFonts w:ascii="宋体" w:eastAsia="宋体" w:hAnsi="宋体" w:cs="宋体" w:hint="eastAsia"/>
      <w:color w:val="000000"/>
      <w:sz w:val="20"/>
      <w:szCs w:val="20"/>
      <w:u w:val="none"/>
    </w:rPr>
  </w:style>
  <w:style w:type="character" w:customStyle="1" w:styleId="font41">
    <w:name w:val="font41"/>
    <w:basedOn w:val="a1"/>
    <w:qFormat/>
    <w:rPr>
      <w:rFonts w:ascii="宋体" w:eastAsia="宋体" w:hAnsi="宋体" w:cs="宋体" w:hint="eastAsia"/>
      <w:color w:val="000000"/>
      <w:sz w:val="32"/>
      <w:szCs w:val="32"/>
      <w:u w:val="none"/>
    </w:rPr>
  </w:style>
  <w:style w:type="character" w:customStyle="1" w:styleId="font51">
    <w:name w:val="font51"/>
    <w:basedOn w:val="a1"/>
    <w:qFormat/>
    <w:rPr>
      <w:rFonts w:ascii="宋体" w:eastAsia="宋体" w:hAnsi="宋体" w:cs="宋体"/>
      <w:color w:val="000000"/>
      <w:sz w:val="20"/>
      <w:szCs w:val="20"/>
      <w:u w:val="none"/>
    </w:rPr>
  </w:style>
  <w:style w:type="character" w:customStyle="1" w:styleId="font31">
    <w:name w:val="font31"/>
    <w:basedOn w:val="a1"/>
    <w:qFormat/>
    <w:rPr>
      <w:rFonts w:ascii="宋体" w:eastAsia="宋体" w:hAnsi="宋体" w:cs="宋体" w:hint="eastAsia"/>
      <w:b/>
      <w:color w:val="000000"/>
      <w:sz w:val="32"/>
      <w:szCs w:val="3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61">
    <w:name w:val="font61"/>
    <w:basedOn w:val="a1"/>
    <w:qFormat/>
    <w:rPr>
      <w:rFonts w:ascii="宋体" w:eastAsia="宋体" w:hAnsi="宋体" w:cs="宋体" w:hint="eastAsia"/>
      <w:b/>
      <w:color w:val="000000"/>
      <w:sz w:val="32"/>
      <w:szCs w:val="32"/>
      <w:u w:val="none"/>
    </w:rPr>
  </w:style>
  <w:style w:type="character" w:customStyle="1" w:styleId="font01">
    <w:name w:val="font01"/>
    <w:basedOn w:val="a1"/>
    <w:qFormat/>
    <w:rPr>
      <w:rFonts w:ascii="宋体" w:eastAsia="宋体" w:hAnsi="宋体" w:cs="宋体" w:hint="eastAsia"/>
      <w:color w:val="000000"/>
      <w:sz w:val="32"/>
      <w:szCs w:val="32"/>
      <w:u w:val="none"/>
    </w:rPr>
  </w:style>
  <w:style w:type="character" w:customStyle="1" w:styleId="font81">
    <w:name w:val="font81"/>
    <w:basedOn w:val="a1"/>
    <w:qFormat/>
    <w:rPr>
      <w:rFonts w:ascii="宋体" w:eastAsia="宋体" w:hAnsi="宋体" w:cs="宋体" w:hint="eastAsia"/>
      <w:color w:val="000000"/>
      <w:sz w:val="20"/>
      <w:szCs w:val="20"/>
      <w:u w:val="none"/>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101">
    <w:name w:val="font101"/>
    <w:basedOn w:val="a1"/>
    <w:qFormat/>
    <w:rPr>
      <w:rFonts w:ascii="宋体" w:eastAsia="宋体" w:hAnsi="宋体" w:cs="宋体" w:hint="eastAsia"/>
      <w:color w:val="000000"/>
      <w:sz w:val="20"/>
      <w:szCs w:val="20"/>
      <w:u w:val="none"/>
    </w:rPr>
  </w:style>
  <w:style w:type="character" w:customStyle="1" w:styleId="font71">
    <w:name w:val="font71"/>
    <w:basedOn w:val="a1"/>
    <w:qFormat/>
    <w:rPr>
      <w:rFonts w:ascii="宋体" w:eastAsia="宋体" w:hAnsi="宋体" w:cs="宋体" w:hint="eastAsia"/>
      <w:color w:val="000000"/>
      <w:sz w:val="20"/>
      <w:szCs w:val="20"/>
      <w:u w:val="none"/>
    </w:rPr>
  </w:style>
  <w:style w:type="character" w:customStyle="1" w:styleId="font41">
    <w:name w:val="font41"/>
    <w:basedOn w:val="a1"/>
    <w:qFormat/>
    <w:rPr>
      <w:rFonts w:ascii="宋体" w:eastAsia="宋体" w:hAnsi="宋体" w:cs="宋体" w:hint="eastAsia"/>
      <w:color w:val="000000"/>
      <w:sz w:val="32"/>
      <w:szCs w:val="32"/>
      <w:u w:val="none"/>
    </w:rPr>
  </w:style>
  <w:style w:type="character" w:customStyle="1" w:styleId="font51">
    <w:name w:val="font51"/>
    <w:basedOn w:val="a1"/>
    <w:qFormat/>
    <w:rPr>
      <w:rFonts w:ascii="宋体" w:eastAsia="宋体" w:hAnsi="宋体" w:cs="宋体"/>
      <w:color w:val="000000"/>
      <w:sz w:val="20"/>
      <w:szCs w:val="20"/>
      <w:u w:val="none"/>
    </w:rPr>
  </w:style>
  <w:style w:type="character" w:customStyle="1" w:styleId="font31">
    <w:name w:val="font31"/>
    <w:basedOn w:val="a1"/>
    <w:qFormat/>
    <w:rPr>
      <w:rFonts w:ascii="宋体" w:eastAsia="宋体" w:hAnsi="宋体" w:cs="宋体" w:hint="eastAsia"/>
      <w:b/>
      <w:color w:val="00000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600" b="1" i="0" u="none" strike="noStrike" kern="1200" baseline="0">
                <a:solidFill>
                  <a:schemeClr val="tx2"/>
                </a:solidFill>
                <a:latin typeface="+mn-lt"/>
                <a:ea typeface="+mn-ea"/>
                <a:cs typeface="+mn-cs"/>
              </a:defRPr>
            </a:pPr>
            <a:r>
              <a:rPr lang="zh-CN" altLang="en-US"/>
              <a:t>收入决算</a:t>
            </a:r>
          </a:p>
        </c:rich>
      </c:tx>
      <c:overlay val="0"/>
      <c:spPr>
        <a:noFill/>
        <a:ln>
          <a:noFill/>
        </a:ln>
        <a:effectLst/>
      </c:spPr>
    </c:title>
    <c:autoTitleDeleted val="0"/>
    <c:plotArea>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dPt>
          <c:dLbls>
            <c:dLbl>
              <c:idx val="1"/>
              <c:delete val="1"/>
            </c:dLbl>
            <c:dLbl>
              <c:idx val="2"/>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endParaRPr lang="zh-CN"/>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[工作簿1]Sheet1!$B$9:$B$11</c:f>
              <c:strCache>
                <c:ptCount val="3"/>
                <c:pt idx="0">
                  <c:v>财政拨款收入</c:v>
                </c:pt>
                <c:pt idx="1">
                  <c:v>政府性基金预算财政拨款收入</c:v>
                </c:pt>
                <c:pt idx="2">
                  <c:v>国有资本经营预算财政拨款</c:v>
                </c:pt>
              </c:strCache>
            </c:strRef>
          </c:cat>
          <c:val>
            <c:numRef>
              <c:f>[工作簿1]Sheet1!$C$9:$C$11</c:f>
              <c:numCache>
                <c:formatCode>General</c:formatCode>
                <c:ptCount val="3"/>
                <c:pt idx="0" formatCode="0%">
                  <c:v>1</c:v>
                </c:pt>
                <c:pt idx="1">
                  <c:v>0</c:v>
                </c:pt>
                <c:pt idx="2">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1"/>
        <c:delete val="1"/>
      </c:legendEntry>
      <c:legendEntry>
        <c:idx val="2"/>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2"/>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chemeClr val="dk1">
                    <a:lumMod val="65000"/>
                    <a:lumOff val="35000"/>
                  </a:schemeClr>
                </a:solidFill>
                <a:latin typeface="+mn-lt"/>
                <a:ea typeface="+mn-ea"/>
                <a:cs typeface="+mn-cs"/>
              </a:defRPr>
            </a:pPr>
            <a:r>
              <a:rPr lang="zh-CN" altLang="en-US"/>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Lbls>
            <c:dLbl>
              <c:idx val="0"/>
              <c:dLblPos val="bestFit"/>
              <c:showLegendKey val="0"/>
              <c:showVal val="0"/>
              <c:showCatName val="0"/>
              <c:showSerName val="0"/>
              <c:showPercent val="1"/>
              <c:showBubbleSize val="0"/>
            </c:dLbl>
            <c:dLbl>
              <c:idx val="1"/>
              <c:dLblPos val="bestFit"/>
              <c:showLegendKey val="0"/>
              <c:showVal val="0"/>
              <c:showCatName val="0"/>
              <c:showSerName val="0"/>
              <c:showPercent val="1"/>
              <c:showBubbleSize val="0"/>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Sheet0!$A$2:$A$3</c:f>
              <c:strCache>
                <c:ptCount val="2"/>
                <c:pt idx="0">
                  <c:v>基本支出</c:v>
                </c:pt>
                <c:pt idx="1">
                  <c:v>项目支出</c:v>
                </c:pt>
              </c:strCache>
              <c:extLst>
                <c:ext xmlns:c15="http://schemas.microsoft.com/office/drawing/2012/chart" uri="{02D57815-91ED-43cb-92C2-25804820EDAC}">
                  <c15:fullRef>
                    <c15:sqref>Sheet0!$A$2:$A$6</c15:sqref>
                  </c15:fullRef>
                </c:ext>
              </c:extLst>
            </c:strRef>
          </c:cat>
          <c:val>
            <c:numRef>
              <c:f>Sheet0!$B$2:$B$3</c:f>
              <c:numCache>
                <c:formatCode>General</c:formatCode>
                <c:ptCount val="2"/>
                <c:pt idx="0">
                  <c:v>894.67</c:v>
                </c:pt>
                <c:pt idx="1">
                  <c:v>394.11</c:v>
                </c:pt>
              </c:numCache>
              <c:extLst>
                <c:ext xmlns:c15="http://schemas.microsoft.com/office/drawing/2012/chart" uri="{02D57815-91ED-43cb-92C2-25804820EDAC}">
                  <c15:fullRef>
                    <c15:sqref>Sheet0!$B$2:$B$6</c15:sqref>
                  </c15:fullRef>
                </c:ext>
              </c:extLst>
            </c:numRef>
          </c:val>
        </c:ser>
        <c:dLbls>
          <c:showLegendKey val="0"/>
          <c:showVal val="1"/>
          <c:showCatName val="0"/>
          <c:showSerName val="0"/>
          <c:showPercent val="0"/>
          <c:showBubbleSize val="0"/>
          <c:showLeaderLines val="1"/>
        </c:dLbls>
        <c:firstSliceAng val="0"/>
      </c:pieChart>
      <c:spPr>
        <a:noFill/>
        <a:ln>
          <a:noFill/>
        </a:ln>
        <a:effectLst/>
      </c:spPr>
    </c:plotArea>
    <c:legend>
      <c:legendPos val="r"/>
      <c:overlay val="0"/>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AF5044-551B-4548-982D-466D592BD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18</Pages>
  <Words>1144</Words>
  <Characters>6522</Characters>
  <Application>Microsoft Office Word</Application>
  <DocSecurity>0</DocSecurity>
  <Lines>54</Lines>
  <Paragraphs>15</Paragraphs>
  <ScaleCrop>false</ScaleCrop>
  <Company/>
  <LinksUpToDate>false</LinksUpToDate>
  <CharactersWithSpaces>7651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73</cp:revision>
  <cp:lastPrinted>2020-08-07T11:39:00Z</cp:lastPrinted>
  <dcterms:created xsi:type="dcterms:W3CDTF">2017-07-11T15:16:00Z</dcterms:created>
  <dcterms:modified xsi:type="dcterms:W3CDTF">2025-09-11T01:44:00Z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