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454E" w:rsidRDefault="00C9454E">
      <w:pPr>
        <w:jc w:val="center"/>
        <w:rPr>
          <w:rFonts w:ascii="仿宋_GB2312" w:eastAsia="仿宋_GB2312" w:hint="eastAsia"/>
          <w:b/>
          <w:sz w:val="32"/>
          <w:szCs w:val="32"/>
        </w:rPr>
      </w:pPr>
    </w:p>
    <w:p w:rsidR="00C9454E" w:rsidRDefault="00C9454E">
      <w:pPr>
        <w:jc w:val="center"/>
        <w:rPr>
          <w:rFonts w:ascii="黑体" w:eastAsia="黑体"/>
          <w:sz w:val="72"/>
          <w:szCs w:val="72"/>
        </w:rPr>
      </w:pPr>
    </w:p>
    <w:p w:rsidR="00C9454E" w:rsidRDefault="00C9454E">
      <w:pPr>
        <w:jc w:val="center"/>
        <w:rPr>
          <w:rFonts w:ascii="黑体" w:eastAsia="黑体"/>
          <w:sz w:val="72"/>
          <w:szCs w:val="72"/>
        </w:rPr>
      </w:pPr>
    </w:p>
    <w:p w:rsidR="00C9454E" w:rsidRDefault="00C9454E">
      <w:pPr>
        <w:jc w:val="center"/>
        <w:rPr>
          <w:rFonts w:ascii="黑体" w:eastAsia="黑体"/>
          <w:sz w:val="72"/>
          <w:szCs w:val="72"/>
        </w:rPr>
      </w:pPr>
    </w:p>
    <w:p w:rsidR="00C9454E" w:rsidRDefault="00C9454E">
      <w:pPr>
        <w:jc w:val="center"/>
        <w:rPr>
          <w:rFonts w:ascii="黑体" w:eastAsia="黑体"/>
          <w:sz w:val="72"/>
          <w:szCs w:val="72"/>
        </w:rPr>
      </w:pPr>
    </w:p>
    <w:p w:rsidR="00C9454E" w:rsidRDefault="003043F0">
      <w:pPr>
        <w:jc w:val="center"/>
        <w:rPr>
          <w:rFonts w:ascii="黑体" w:eastAsia="黑体"/>
          <w:sz w:val="72"/>
          <w:szCs w:val="72"/>
        </w:rPr>
      </w:pPr>
      <w:r>
        <w:rPr>
          <w:rFonts w:ascii="黑体" w:eastAsia="黑体" w:hint="eastAsia"/>
          <w:sz w:val="72"/>
          <w:szCs w:val="72"/>
        </w:rPr>
        <w:t>2024年度</w:t>
      </w:r>
      <w:r w:rsidR="00435086">
        <w:rPr>
          <w:rFonts w:ascii="黑体" w:eastAsia="黑体" w:hint="eastAsia"/>
          <w:sz w:val="72"/>
          <w:szCs w:val="72"/>
        </w:rPr>
        <w:t>单位</w:t>
      </w:r>
      <w:r>
        <w:rPr>
          <w:rFonts w:ascii="黑体" w:eastAsia="黑体" w:hint="eastAsia"/>
          <w:sz w:val="72"/>
          <w:szCs w:val="72"/>
        </w:rPr>
        <w:t>决算（公开</w:t>
      </w:r>
      <w:r>
        <w:rPr>
          <w:rFonts w:ascii="黑体" w:eastAsia="黑体"/>
          <w:sz w:val="72"/>
          <w:szCs w:val="72"/>
        </w:rPr>
        <w:t>）</w:t>
      </w:r>
    </w:p>
    <w:p w:rsidR="00C9454E" w:rsidRDefault="00C9454E">
      <w:pPr>
        <w:jc w:val="center"/>
        <w:rPr>
          <w:rFonts w:ascii="黑体" w:eastAsia="黑体"/>
          <w:sz w:val="52"/>
          <w:szCs w:val="52"/>
        </w:rPr>
      </w:pPr>
    </w:p>
    <w:p w:rsidR="00C9454E" w:rsidRDefault="00C9454E">
      <w:pPr>
        <w:jc w:val="center"/>
        <w:rPr>
          <w:rFonts w:ascii="黑体" w:eastAsia="黑体"/>
          <w:sz w:val="52"/>
          <w:szCs w:val="52"/>
        </w:rPr>
      </w:pPr>
    </w:p>
    <w:p w:rsidR="00C9454E" w:rsidRDefault="00C9454E">
      <w:pPr>
        <w:jc w:val="center"/>
        <w:rPr>
          <w:rFonts w:ascii="黑体" w:eastAsia="黑体"/>
          <w:sz w:val="52"/>
          <w:szCs w:val="52"/>
        </w:rPr>
      </w:pPr>
    </w:p>
    <w:p w:rsidR="00C9454E" w:rsidRDefault="00C9454E">
      <w:pPr>
        <w:jc w:val="center"/>
        <w:rPr>
          <w:rFonts w:ascii="黑体" w:eastAsia="黑体"/>
          <w:sz w:val="52"/>
          <w:szCs w:val="52"/>
        </w:rPr>
      </w:pPr>
    </w:p>
    <w:p w:rsidR="00C9454E" w:rsidRDefault="00C9454E">
      <w:pPr>
        <w:jc w:val="center"/>
        <w:rPr>
          <w:rFonts w:ascii="黑体" w:eastAsia="黑体"/>
          <w:sz w:val="32"/>
          <w:szCs w:val="32"/>
        </w:rPr>
      </w:pPr>
    </w:p>
    <w:p w:rsidR="00C9454E" w:rsidRDefault="003043F0">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C9454E" w:rsidRDefault="00C9454E">
      <w:pPr>
        <w:spacing w:line="500" w:lineRule="exact"/>
        <w:ind w:firstLine="645"/>
        <w:jc w:val="center"/>
        <w:rPr>
          <w:rFonts w:ascii="宋体" w:hAnsi="宋体" w:cs="宋体"/>
          <w:b/>
          <w:bCs/>
          <w:kern w:val="0"/>
          <w:sz w:val="36"/>
          <w:szCs w:val="36"/>
        </w:rPr>
      </w:pPr>
    </w:p>
    <w:p w:rsidR="00C9454E" w:rsidRDefault="003043F0">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2024年度</w:t>
      </w:r>
      <w:r w:rsidR="00B47E5A">
        <w:rPr>
          <w:rFonts w:ascii="宋体" w:hAnsi="宋体" w:cs="宋体" w:hint="eastAsia"/>
          <w:bCs/>
          <w:spacing w:val="40"/>
          <w:kern w:val="0"/>
          <w:sz w:val="32"/>
          <w:szCs w:val="32"/>
        </w:rPr>
        <w:t>单位</w:t>
      </w:r>
      <w:r>
        <w:rPr>
          <w:rFonts w:ascii="宋体" w:hAnsi="宋体" w:cs="宋体" w:hint="eastAsia"/>
          <w:bCs/>
          <w:spacing w:val="40"/>
          <w:kern w:val="0"/>
          <w:sz w:val="32"/>
          <w:szCs w:val="32"/>
        </w:rPr>
        <w:t>决算报表</w:t>
      </w:r>
    </w:p>
    <w:p w:rsidR="00C9454E" w:rsidRDefault="003043F0">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C9454E" w:rsidRDefault="003043F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C9454E" w:rsidRDefault="003043F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C9454E" w:rsidRDefault="003043F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C9454E" w:rsidRDefault="003043F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C9454E" w:rsidRDefault="003043F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C9454E" w:rsidRDefault="003043F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C9454E" w:rsidRDefault="003043F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C9454E" w:rsidRDefault="003043F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rsidR="00C9454E" w:rsidRDefault="003043F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C9454E" w:rsidRDefault="003043F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C9454E" w:rsidRDefault="003043F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rsidR="00C9454E" w:rsidRDefault="003043F0">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w:t>
      </w:r>
      <w:r w:rsidR="00B47E5A">
        <w:rPr>
          <w:rFonts w:ascii="宋体" w:hAnsi="宋体" w:hint="eastAsia"/>
          <w:spacing w:val="40"/>
          <w:sz w:val="32"/>
          <w:szCs w:val="32"/>
        </w:rPr>
        <w:t>单位</w:t>
      </w:r>
      <w:r>
        <w:rPr>
          <w:rFonts w:ascii="宋体" w:hAnsi="宋体" w:hint="eastAsia"/>
          <w:spacing w:val="40"/>
          <w:sz w:val="32"/>
          <w:szCs w:val="32"/>
        </w:rPr>
        <w:t>决算说明</w:t>
      </w:r>
    </w:p>
    <w:p w:rsidR="00C9454E" w:rsidRDefault="003043F0">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rsidR="00C9454E" w:rsidRDefault="003043F0">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2024年度</w:t>
      </w:r>
      <w:r w:rsidR="00B47E5A">
        <w:rPr>
          <w:rFonts w:ascii="宋体" w:hAnsi="宋体" w:cs="宋体" w:hint="eastAsia"/>
          <w:spacing w:val="40"/>
          <w:kern w:val="0"/>
          <w:sz w:val="32"/>
          <w:szCs w:val="32"/>
        </w:rPr>
        <w:t>单位</w:t>
      </w:r>
      <w:r>
        <w:rPr>
          <w:rFonts w:ascii="宋体" w:hAnsi="宋体" w:cs="宋体" w:hint="eastAsia"/>
          <w:spacing w:val="40"/>
          <w:kern w:val="0"/>
          <w:sz w:val="32"/>
          <w:szCs w:val="32"/>
        </w:rPr>
        <w:t>绩效评价情况</w:t>
      </w:r>
    </w:p>
    <w:p w:rsidR="00C9454E" w:rsidRDefault="00C9454E">
      <w:pPr>
        <w:tabs>
          <w:tab w:val="center" w:pos="6979"/>
        </w:tabs>
        <w:spacing w:beforeLines="50" w:before="156" w:afterLines="50" w:after="156"/>
        <w:jc w:val="center"/>
        <w:rPr>
          <w:rFonts w:ascii="宋体" w:hAnsi="宋体" w:cs="宋体"/>
          <w:b/>
          <w:bCs/>
          <w:spacing w:val="40"/>
          <w:kern w:val="0"/>
          <w:sz w:val="32"/>
          <w:szCs w:val="32"/>
        </w:rPr>
      </w:pPr>
    </w:p>
    <w:p w:rsidR="00C9454E" w:rsidRDefault="00C9454E">
      <w:pPr>
        <w:tabs>
          <w:tab w:val="center" w:pos="6979"/>
        </w:tabs>
        <w:spacing w:beforeLines="50" w:before="156" w:afterLines="50" w:after="156"/>
        <w:jc w:val="center"/>
        <w:rPr>
          <w:rFonts w:ascii="宋体" w:hAnsi="宋体" w:cs="宋体"/>
          <w:b/>
          <w:bCs/>
          <w:spacing w:val="40"/>
          <w:kern w:val="0"/>
          <w:sz w:val="32"/>
          <w:szCs w:val="32"/>
        </w:rPr>
      </w:pPr>
    </w:p>
    <w:p w:rsidR="00C9454E" w:rsidRDefault="00C9454E">
      <w:pPr>
        <w:tabs>
          <w:tab w:val="center" w:pos="6979"/>
        </w:tabs>
        <w:spacing w:beforeLines="50" w:before="156" w:afterLines="50" w:after="156"/>
        <w:jc w:val="center"/>
        <w:rPr>
          <w:rFonts w:ascii="宋体" w:hAnsi="宋体" w:cs="宋体"/>
          <w:b/>
          <w:bCs/>
          <w:spacing w:val="40"/>
          <w:kern w:val="0"/>
          <w:sz w:val="32"/>
          <w:szCs w:val="32"/>
        </w:rPr>
      </w:pPr>
    </w:p>
    <w:p w:rsidR="00C9454E" w:rsidRDefault="00C9454E">
      <w:pPr>
        <w:tabs>
          <w:tab w:val="center" w:pos="6979"/>
        </w:tabs>
        <w:spacing w:beforeLines="50" w:before="156" w:afterLines="50" w:after="156"/>
        <w:jc w:val="center"/>
        <w:rPr>
          <w:rFonts w:ascii="宋体" w:hAnsi="宋体" w:cs="宋体"/>
          <w:b/>
          <w:bCs/>
          <w:spacing w:val="40"/>
          <w:kern w:val="0"/>
          <w:sz w:val="32"/>
          <w:szCs w:val="32"/>
        </w:rPr>
      </w:pPr>
    </w:p>
    <w:p w:rsidR="00C9454E" w:rsidRDefault="00C9454E">
      <w:pPr>
        <w:tabs>
          <w:tab w:val="center" w:pos="6979"/>
        </w:tabs>
        <w:spacing w:beforeLines="50" w:before="156" w:afterLines="50" w:after="156"/>
        <w:jc w:val="center"/>
        <w:rPr>
          <w:rFonts w:ascii="宋体" w:hAnsi="宋体" w:cs="宋体"/>
          <w:b/>
          <w:bCs/>
          <w:spacing w:val="40"/>
          <w:kern w:val="0"/>
          <w:sz w:val="32"/>
          <w:szCs w:val="32"/>
        </w:rPr>
      </w:pPr>
    </w:p>
    <w:p w:rsidR="00C9454E" w:rsidRDefault="003043F0">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2024年度</w:t>
      </w:r>
      <w:r w:rsidR="008B46C2">
        <w:rPr>
          <w:rFonts w:ascii="宋体" w:hAnsi="宋体" w:cs="宋体" w:hint="eastAsia"/>
          <w:b/>
          <w:bCs/>
          <w:spacing w:val="40"/>
          <w:kern w:val="0"/>
          <w:sz w:val="44"/>
          <w:szCs w:val="44"/>
        </w:rPr>
        <w:t>单位</w:t>
      </w:r>
      <w:r>
        <w:rPr>
          <w:rFonts w:ascii="宋体" w:hAnsi="宋体" w:cs="宋体" w:hint="eastAsia"/>
          <w:b/>
          <w:bCs/>
          <w:spacing w:val="40"/>
          <w:kern w:val="0"/>
          <w:sz w:val="44"/>
          <w:szCs w:val="44"/>
        </w:rPr>
        <w:t>决算报表</w:t>
      </w:r>
    </w:p>
    <w:p w:rsidR="00C9454E" w:rsidRDefault="003043F0">
      <w:pPr>
        <w:pStyle w:val="2"/>
        <w:rPr>
          <w:b w:val="0"/>
          <w:bCs w:val="0"/>
        </w:rPr>
        <w:sectPr w:rsidR="00C9454E">
          <w:footerReference w:type="default" r:id="rId9"/>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C9454E" w:rsidRDefault="003043F0">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w:t>
      </w:r>
      <w:r w:rsidR="004E4EBE">
        <w:rPr>
          <w:rFonts w:ascii="宋体" w:hAnsi="宋体" w:hint="eastAsia"/>
          <w:b/>
          <w:spacing w:val="40"/>
          <w:sz w:val="32"/>
          <w:szCs w:val="32"/>
        </w:rPr>
        <w:t>年度单位</w:t>
      </w:r>
      <w:r>
        <w:rPr>
          <w:rFonts w:ascii="宋体" w:hAnsi="宋体" w:hint="eastAsia"/>
          <w:b/>
          <w:spacing w:val="40"/>
          <w:sz w:val="32"/>
          <w:szCs w:val="32"/>
        </w:rPr>
        <w:t>决算说明</w:t>
      </w:r>
    </w:p>
    <w:p w:rsidR="00C9454E" w:rsidRDefault="003043F0" w:rsidP="004E4EBE">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rsidR="004E4EBE" w:rsidRDefault="004E4EBE" w:rsidP="004E4EBE">
      <w:pPr>
        <w:tabs>
          <w:tab w:val="center" w:pos="6979"/>
        </w:tabs>
        <w:spacing w:line="580" w:lineRule="exact"/>
        <w:ind w:firstLineChars="250" w:firstLine="700"/>
        <w:rPr>
          <w:rFonts w:ascii="仿宋_GB2312" w:eastAsia="仿宋_GB2312"/>
          <w:sz w:val="28"/>
          <w:szCs w:val="28"/>
        </w:rPr>
      </w:pPr>
      <w:r w:rsidRPr="004E4EBE">
        <w:rPr>
          <w:rFonts w:ascii="仿宋_GB2312" w:eastAsia="仿宋_GB2312" w:hint="eastAsia"/>
          <w:sz w:val="28"/>
          <w:szCs w:val="28"/>
        </w:rPr>
        <w:t>根据《中共北京市委机构编制委员会关于市市场监管局和市药监局所属事业单位改革有关事项的批复》（京编委〔2021〕137号）和《中共北京市药品监督管理局党组关于印发所属事业单位主要职责、内设机构和人员编制规定的通知》（</w:t>
      </w:r>
      <w:proofErr w:type="gramStart"/>
      <w:r w:rsidRPr="004E4EBE">
        <w:rPr>
          <w:rFonts w:ascii="仿宋_GB2312" w:eastAsia="仿宋_GB2312" w:hint="eastAsia"/>
          <w:sz w:val="28"/>
          <w:szCs w:val="28"/>
        </w:rPr>
        <w:t>京药监</w:t>
      </w:r>
      <w:proofErr w:type="gramEnd"/>
      <w:r w:rsidRPr="004E4EBE">
        <w:rPr>
          <w:rFonts w:ascii="仿宋_GB2312" w:eastAsia="仿宋_GB2312" w:hint="eastAsia"/>
          <w:sz w:val="28"/>
          <w:szCs w:val="28"/>
        </w:rPr>
        <w:t>党组发〔2021〕61号），设立北京市药品监督管理局综合事务中心，为正处级公益一类事业单位，是北京市药品监督管理局直属事业单位。</w:t>
      </w:r>
    </w:p>
    <w:p w:rsidR="004E4EBE" w:rsidRPr="004E4EBE" w:rsidRDefault="004E4EBE" w:rsidP="008830D8">
      <w:pPr>
        <w:tabs>
          <w:tab w:val="center" w:pos="6979"/>
        </w:tabs>
        <w:spacing w:line="580" w:lineRule="exact"/>
        <w:ind w:firstLineChars="200" w:firstLine="560"/>
        <w:rPr>
          <w:rFonts w:ascii="仿宋_GB2312" w:eastAsia="仿宋_GB2312"/>
          <w:sz w:val="28"/>
          <w:szCs w:val="28"/>
        </w:rPr>
      </w:pPr>
      <w:r w:rsidRPr="004E4EBE">
        <w:rPr>
          <w:rFonts w:ascii="仿宋_GB2312" w:eastAsia="仿宋_GB2312" w:hint="eastAsia"/>
          <w:sz w:val="28"/>
          <w:szCs w:val="28"/>
        </w:rPr>
        <w:t>主要职责：</w:t>
      </w:r>
      <w:proofErr w:type="gramStart"/>
      <w:r w:rsidRPr="004E4EBE">
        <w:rPr>
          <w:rFonts w:ascii="仿宋_GB2312" w:eastAsia="仿宋_GB2312" w:hint="eastAsia"/>
          <w:sz w:val="28"/>
          <w:szCs w:val="28"/>
        </w:rPr>
        <w:t>承担市药监</w:t>
      </w:r>
      <w:proofErr w:type="gramEnd"/>
      <w:r w:rsidRPr="004E4EBE">
        <w:rPr>
          <w:rFonts w:ascii="仿宋_GB2312" w:eastAsia="仿宋_GB2312" w:hint="eastAsia"/>
          <w:sz w:val="28"/>
          <w:szCs w:val="28"/>
        </w:rPr>
        <w:t>局机关综合服务保障、离退休干部服务等事务性工作。</w:t>
      </w:r>
    </w:p>
    <w:p w:rsidR="008830D8" w:rsidRDefault="003043F0">
      <w:pPr>
        <w:tabs>
          <w:tab w:val="center" w:pos="6979"/>
        </w:tabs>
        <w:spacing w:line="580" w:lineRule="exact"/>
        <w:rPr>
          <w:rFonts w:ascii="仿宋_GB2312" w:eastAsia="仿宋_GB2312" w:hint="eastAsia"/>
          <w:b/>
          <w:sz w:val="32"/>
          <w:szCs w:val="32"/>
        </w:rPr>
      </w:pPr>
      <w:r>
        <w:rPr>
          <w:rFonts w:ascii="仿宋_GB2312" w:eastAsia="仿宋_GB2312" w:hint="eastAsia"/>
          <w:b/>
          <w:sz w:val="32"/>
          <w:szCs w:val="32"/>
        </w:rPr>
        <w:t xml:space="preserve">   </w:t>
      </w:r>
      <w:r w:rsidR="008830D8" w:rsidRPr="008830D8">
        <w:rPr>
          <w:rFonts w:ascii="仿宋_GB2312" w:eastAsia="仿宋_GB2312" w:hint="eastAsia"/>
          <w:sz w:val="28"/>
          <w:szCs w:val="28"/>
        </w:rPr>
        <w:t>本单位无下属单位。</w:t>
      </w:r>
    </w:p>
    <w:p w:rsidR="00C9454E" w:rsidRDefault="003043F0" w:rsidP="008830D8">
      <w:pPr>
        <w:tabs>
          <w:tab w:val="center" w:pos="6979"/>
        </w:tabs>
        <w:spacing w:line="580" w:lineRule="exact"/>
        <w:ind w:firstLineChars="147" w:firstLine="413"/>
        <w:rPr>
          <w:rFonts w:ascii="黑体" w:eastAsia="黑体"/>
          <w:b/>
          <w:sz w:val="28"/>
          <w:szCs w:val="28"/>
        </w:rPr>
      </w:pPr>
      <w:r>
        <w:rPr>
          <w:rFonts w:ascii="黑体" w:eastAsia="黑体" w:hint="eastAsia"/>
          <w:b/>
          <w:sz w:val="28"/>
          <w:szCs w:val="28"/>
        </w:rPr>
        <w:t>二、收入支出决算总体情况说明</w:t>
      </w:r>
    </w:p>
    <w:p w:rsidR="00C9454E" w:rsidRDefault="003043F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979.06</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sidR="008B46C2">
        <w:rPr>
          <w:rFonts w:ascii="仿宋_GB2312" w:eastAsia="仿宋_GB2312" w:hint="eastAsia"/>
          <w:sz w:val="28"/>
          <w:szCs w:val="28"/>
        </w:rPr>
        <w:t>63.44</w:t>
      </w:r>
      <w:r>
        <w:rPr>
          <w:rFonts w:ascii="仿宋_GB2312" w:eastAsia="仿宋_GB2312" w:hint="eastAsia"/>
          <w:sz w:val="28"/>
          <w:szCs w:val="28"/>
        </w:rPr>
        <w:t>万元，下降</w:t>
      </w:r>
      <w:r w:rsidR="008B46C2">
        <w:rPr>
          <w:rFonts w:ascii="仿宋_GB2312" w:eastAsia="仿宋_GB2312" w:hint="eastAsia"/>
          <w:sz w:val="28"/>
          <w:szCs w:val="28"/>
        </w:rPr>
        <w:t>6.09</w:t>
      </w:r>
      <w:r>
        <w:rPr>
          <w:rFonts w:ascii="仿宋_GB2312" w:eastAsia="仿宋_GB2312" w:hint="eastAsia"/>
          <w:sz w:val="28"/>
          <w:szCs w:val="28"/>
        </w:rPr>
        <w:t>%。</w:t>
      </w:r>
    </w:p>
    <w:p w:rsidR="00C9454E" w:rsidRDefault="003043F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C9454E" w:rsidRDefault="003043F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666.57</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sidR="008B46C2">
        <w:rPr>
          <w:rFonts w:ascii="仿宋_GB2312" w:eastAsia="仿宋_GB2312" w:hint="eastAsia"/>
          <w:sz w:val="28"/>
          <w:szCs w:val="28"/>
        </w:rPr>
        <w:t>1000.40</w:t>
      </w:r>
      <w:r>
        <w:rPr>
          <w:rFonts w:ascii="仿宋_GB2312" w:eastAsia="仿宋_GB2312" w:hint="eastAsia"/>
          <w:sz w:val="28"/>
          <w:szCs w:val="28"/>
        </w:rPr>
        <w:t>万元，下降</w:t>
      </w:r>
      <w:r w:rsidR="008B46C2">
        <w:rPr>
          <w:rFonts w:ascii="仿宋_GB2312" w:eastAsia="仿宋_GB2312" w:hint="eastAsia"/>
          <w:sz w:val="28"/>
          <w:szCs w:val="28"/>
        </w:rPr>
        <w:t>33.37</w:t>
      </w:r>
      <w:r>
        <w:rPr>
          <w:rFonts w:ascii="仿宋_GB2312" w:eastAsia="仿宋_GB2312" w:hint="eastAsia"/>
          <w:sz w:val="28"/>
          <w:szCs w:val="28"/>
        </w:rPr>
        <w:t>%。</w:t>
      </w:r>
    </w:p>
    <w:p w:rsidR="00C9454E" w:rsidRDefault="003043F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666.57</w:t>
      </w:r>
      <w:r>
        <w:rPr>
          <w:rFonts w:ascii="仿宋_GB2312" w:eastAsia="仿宋_GB2312" w:hint="eastAsia"/>
          <w:sz w:val="28"/>
          <w:szCs w:val="28"/>
        </w:rPr>
        <w:t>万元，占收入合计的100%。其中：一般公共预算财政拨款收入</w:t>
      </w:r>
      <w:r>
        <w:rPr>
          <w:rFonts w:ascii="仿宋_GB2312" w:eastAsia="仿宋_GB2312"/>
          <w:sz w:val="28"/>
          <w:szCs w:val="28"/>
        </w:rPr>
        <w:t>666.57</w:t>
      </w:r>
      <w:r>
        <w:rPr>
          <w:rFonts w:ascii="仿宋_GB2312" w:eastAsia="仿宋_GB2312" w:hint="eastAsia"/>
          <w:sz w:val="28"/>
          <w:szCs w:val="28"/>
        </w:rPr>
        <w:t>万元，占收入合计的100%；政府性基金预算财政拨款收入</w:t>
      </w:r>
      <w:r>
        <w:rPr>
          <w:rFonts w:ascii="仿宋_GB2312" w:eastAsia="仿宋_GB2312"/>
          <w:sz w:val="28"/>
          <w:szCs w:val="28"/>
        </w:rPr>
        <w:t>0</w:t>
      </w:r>
      <w:r>
        <w:rPr>
          <w:rFonts w:ascii="仿宋_GB2312" w:eastAsia="仿宋_GB2312" w:hint="eastAsia"/>
          <w:sz w:val="28"/>
          <w:szCs w:val="28"/>
        </w:rPr>
        <w:t>万元，占收入合计的0%；国有资本经营预算财政拨款收入</w:t>
      </w:r>
      <w:r>
        <w:rPr>
          <w:rFonts w:ascii="仿宋_GB2312" w:eastAsia="仿宋_GB2312"/>
          <w:sz w:val="28"/>
          <w:szCs w:val="28"/>
        </w:rPr>
        <w:t>0</w:t>
      </w:r>
      <w:r>
        <w:rPr>
          <w:rFonts w:ascii="仿宋_GB2312" w:eastAsia="仿宋_GB2312" w:hint="eastAsia"/>
          <w:sz w:val="28"/>
          <w:szCs w:val="28"/>
        </w:rPr>
        <w:t>万元，占收入合计的0%；</w:t>
      </w:r>
    </w:p>
    <w:p w:rsidR="00C9454E" w:rsidRDefault="003043F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rsidR="00C9454E" w:rsidRDefault="003043F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3.事业收入</w:t>
      </w:r>
      <w:r>
        <w:rPr>
          <w:rFonts w:ascii="仿宋_GB2312" w:eastAsia="仿宋_GB2312"/>
          <w:sz w:val="28"/>
          <w:szCs w:val="28"/>
        </w:rPr>
        <w:t>0</w:t>
      </w:r>
      <w:r>
        <w:rPr>
          <w:rFonts w:ascii="仿宋_GB2312" w:eastAsia="仿宋_GB2312" w:hint="eastAsia"/>
          <w:sz w:val="28"/>
          <w:szCs w:val="28"/>
        </w:rPr>
        <w:t>万元，占收入合计的0%；</w:t>
      </w:r>
    </w:p>
    <w:p w:rsidR="00C9454E" w:rsidRDefault="003043F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rsidR="00C9454E" w:rsidRDefault="003043F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rsidR="00C9454E" w:rsidRDefault="003043F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万元，占收入合计的0%。</w:t>
      </w:r>
    </w:p>
    <w:p w:rsidR="00C9454E" w:rsidRDefault="003043F0">
      <w:pPr>
        <w:pStyle w:val="2"/>
        <w:jc w:val="center"/>
      </w:pPr>
      <w:r>
        <w:rPr>
          <w:rFonts w:ascii="仿宋_GB2312" w:eastAsia="仿宋_GB2312" w:hint="eastAsia"/>
          <w:color w:val="000000"/>
          <w:sz w:val="32"/>
        </w:rPr>
        <w:t>图1：收入决算</w:t>
      </w:r>
    </w:p>
    <w:p w:rsidR="00C9454E" w:rsidRDefault="003043F0">
      <w:pPr>
        <w:pStyle w:val="a3"/>
        <w:ind w:firstLine="420"/>
        <w:jc w:val="center"/>
      </w:pPr>
      <w:r>
        <w:rPr>
          <w:noProof/>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9454E" w:rsidRDefault="003043F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C9454E" w:rsidRDefault="003043F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756.49</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sidR="008B46C2">
        <w:rPr>
          <w:rFonts w:ascii="仿宋_GB2312" w:eastAsia="仿宋_GB2312" w:hint="eastAsia"/>
          <w:sz w:val="28"/>
          <w:szCs w:val="28"/>
        </w:rPr>
        <w:t>164.51</w:t>
      </w:r>
      <w:r>
        <w:rPr>
          <w:rFonts w:ascii="仿宋_GB2312" w:eastAsia="仿宋_GB2312" w:hint="eastAsia"/>
          <w:sz w:val="28"/>
          <w:szCs w:val="28"/>
        </w:rPr>
        <w:t>万元，下降</w:t>
      </w:r>
      <w:r w:rsidR="008B46C2">
        <w:rPr>
          <w:rFonts w:ascii="仿宋_GB2312" w:eastAsia="仿宋_GB2312" w:hint="eastAsia"/>
          <w:sz w:val="28"/>
          <w:szCs w:val="28"/>
        </w:rPr>
        <w:t>17.86</w:t>
      </w:r>
      <w:r>
        <w:rPr>
          <w:rFonts w:ascii="仿宋_GB2312" w:eastAsia="仿宋_GB2312" w:hint="eastAsia"/>
          <w:sz w:val="28"/>
          <w:szCs w:val="28"/>
        </w:rPr>
        <w:t>%，其中：基本支出</w:t>
      </w:r>
      <w:r>
        <w:rPr>
          <w:rFonts w:ascii="仿宋_GB2312" w:eastAsia="仿宋_GB2312"/>
          <w:sz w:val="28"/>
          <w:szCs w:val="28"/>
        </w:rPr>
        <w:t>493.17</w:t>
      </w:r>
      <w:r>
        <w:rPr>
          <w:rFonts w:ascii="仿宋_GB2312" w:eastAsia="仿宋_GB2312" w:hint="eastAsia"/>
          <w:sz w:val="28"/>
          <w:szCs w:val="28"/>
        </w:rPr>
        <w:t>万元，占支出合计的65.19%；项目支出</w:t>
      </w:r>
      <w:r>
        <w:rPr>
          <w:rFonts w:ascii="仿宋_GB2312" w:eastAsia="仿宋_GB2312"/>
          <w:sz w:val="28"/>
          <w:szCs w:val="28"/>
        </w:rPr>
        <w:t>263.33</w:t>
      </w:r>
      <w:r>
        <w:rPr>
          <w:rFonts w:ascii="仿宋_GB2312" w:eastAsia="仿宋_GB2312" w:hint="eastAsia"/>
          <w:sz w:val="28"/>
          <w:szCs w:val="28"/>
        </w:rPr>
        <w:t>万元，占支出合计的34.81%;上缴上级支出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rsidR="00C9454E" w:rsidRDefault="003043F0">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rsidR="00C9454E" w:rsidRDefault="003043F0">
      <w:pPr>
        <w:jc w:val="center"/>
        <w:rPr>
          <w:rFonts w:ascii="黑体" w:eastAsia="黑体"/>
          <w:b/>
          <w:sz w:val="28"/>
          <w:szCs w:val="28"/>
        </w:rPr>
      </w:pPr>
      <w:r>
        <w:rPr>
          <w:noProof/>
        </w:rPr>
        <w:drawing>
          <wp:inline distT="0" distB="0" distL="114300" distR="114300">
            <wp:extent cx="4572000" cy="2743200"/>
            <wp:effectExtent l="0" t="0" r="19050" b="19050"/>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C9454E" w:rsidRDefault="003043F0" w:rsidP="004E4EBE">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C9454E" w:rsidRDefault="003043F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681.77</w:t>
      </w:r>
      <w:r>
        <w:rPr>
          <w:rFonts w:ascii="仿宋_GB2312" w:eastAsia="仿宋_GB2312" w:hint="eastAsia"/>
          <w:sz w:val="28"/>
          <w:szCs w:val="28"/>
        </w:rPr>
        <w:t>万元，比上年减少</w:t>
      </w:r>
      <w:r w:rsidR="001675A6">
        <w:rPr>
          <w:rFonts w:ascii="仿宋_GB2312" w:eastAsia="仿宋_GB2312" w:hint="eastAsia"/>
          <w:sz w:val="28"/>
          <w:szCs w:val="28"/>
        </w:rPr>
        <w:t>342.14万元，</w:t>
      </w:r>
      <w:r>
        <w:rPr>
          <w:rFonts w:ascii="仿宋_GB2312" w:eastAsia="仿宋_GB2312" w:hint="eastAsia"/>
          <w:sz w:val="28"/>
          <w:szCs w:val="28"/>
        </w:rPr>
        <w:t>下降</w:t>
      </w:r>
      <w:r w:rsidR="001675A6">
        <w:rPr>
          <w:rFonts w:ascii="仿宋_GB2312" w:eastAsia="仿宋_GB2312" w:hint="eastAsia"/>
          <w:sz w:val="28"/>
          <w:szCs w:val="28"/>
        </w:rPr>
        <w:t>33.41</w:t>
      </w:r>
      <w:r>
        <w:rPr>
          <w:rFonts w:ascii="仿宋_GB2312" w:eastAsia="仿宋_GB2312" w:hint="eastAsia"/>
          <w:sz w:val="28"/>
          <w:szCs w:val="28"/>
        </w:rPr>
        <w:t>%。主要原因：</w:t>
      </w:r>
      <w:r w:rsidR="001675A6">
        <w:rPr>
          <w:rFonts w:ascii="仿宋_GB2312" w:eastAsia="仿宋_GB2312" w:hint="eastAsia"/>
          <w:sz w:val="28"/>
          <w:szCs w:val="28"/>
        </w:rPr>
        <w:t>搬迁至通州副中心集中办公，减少原办公场所房屋租赁支出</w:t>
      </w:r>
      <w:r w:rsidR="002570A5">
        <w:rPr>
          <w:rFonts w:ascii="仿宋_GB2312" w:eastAsia="仿宋_GB2312" w:hint="eastAsia"/>
          <w:sz w:val="28"/>
          <w:szCs w:val="28"/>
        </w:rPr>
        <w:t>等</w:t>
      </w:r>
      <w:r>
        <w:rPr>
          <w:rFonts w:ascii="仿宋_GB2312" w:eastAsia="仿宋_GB2312" w:hint="eastAsia"/>
          <w:sz w:val="28"/>
          <w:szCs w:val="28"/>
        </w:rPr>
        <w:t>。</w:t>
      </w:r>
    </w:p>
    <w:p w:rsidR="00C9454E" w:rsidRDefault="003043F0" w:rsidP="004E4EBE">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C9454E" w:rsidRDefault="003043F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C9454E" w:rsidRDefault="003043F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560.61</w:t>
      </w:r>
      <w:r>
        <w:rPr>
          <w:rFonts w:ascii="仿宋_GB2312" w:eastAsia="仿宋_GB2312" w:hint="eastAsia"/>
          <w:sz w:val="28"/>
          <w:szCs w:val="28"/>
        </w:rPr>
        <w:t>万元，主要用于以下方面：一般公共服务支出</w:t>
      </w:r>
      <w:r w:rsidR="001675A6">
        <w:rPr>
          <w:rFonts w:ascii="仿宋_GB2312" w:eastAsia="仿宋_GB2312" w:hint="eastAsia"/>
          <w:sz w:val="28"/>
          <w:szCs w:val="28"/>
        </w:rPr>
        <w:t>470.03</w:t>
      </w:r>
      <w:r>
        <w:rPr>
          <w:rFonts w:ascii="仿宋_GB2312" w:eastAsia="仿宋_GB2312" w:hint="eastAsia"/>
          <w:sz w:val="28"/>
          <w:szCs w:val="28"/>
        </w:rPr>
        <w:t>万元，占本年财政拨款支出</w:t>
      </w:r>
      <w:r w:rsidR="001675A6">
        <w:rPr>
          <w:rFonts w:ascii="仿宋_GB2312" w:eastAsia="仿宋_GB2312" w:hint="eastAsia"/>
          <w:sz w:val="28"/>
          <w:szCs w:val="28"/>
        </w:rPr>
        <w:t>83.84</w:t>
      </w:r>
      <w:r>
        <w:rPr>
          <w:rFonts w:ascii="仿宋_GB2312" w:eastAsia="仿宋_GB2312" w:hint="eastAsia"/>
          <w:sz w:val="28"/>
          <w:szCs w:val="28"/>
        </w:rPr>
        <w:t>%；</w:t>
      </w:r>
      <w:r w:rsidR="001675A6">
        <w:rPr>
          <w:rFonts w:ascii="仿宋_GB2312" w:eastAsia="仿宋_GB2312" w:hint="eastAsia"/>
          <w:sz w:val="28"/>
          <w:szCs w:val="28"/>
        </w:rPr>
        <w:t>教育支出2.22万元，占本年财政拨款支出0.40%；社会保障和就业支出51.99万元，占本年财政</w:t>
      </w:r>
      <w:r w:rsidR="001675A6">
        <w:rPr>
          <w:rFonts w:ascii="仿宋_GB2312" w:eastAsia="仿宋_GB2312" w:hint="eastAsia"/>
          <w:sz w:val="28"/>
          <w:szCs w:val="28"/>
        </w:rPr>
        <w:lastRenderedPageBreak/>
        <w:t>拨款支出</w:t>
      </w:r>
      <w:r w:rsidR="00D67F36">
        <w:rPr>
          <w:rFonts w:ascii="仿宋_GB2312" w:eastAsia="仿宋_GB2312" w:hint="eastAsia"/>
          <w:sz w:val="28"/>
          <w:szCs w:val="28"/>
        </w:rPr>
        <w:t>9.27%；卫生健康支出36.37万元，占本年财政拨款支出6.49%</w:t>
      </w:r>
      <w:r>
        <w:rPr>
          <w:rFonts w:ascii="仿宋_GB2312" w:eastAsia="仿宋_GB2312" w:hint="eastAsia"/>
          <w:sz w:val="28"/>
          <w:szCs w:val="28"/>
        </w:rPr>
        <w:t>。</w:t>
      </w:r>
    </w:p>
    <w:p w:rsidR="00C9454E" w:rsidRDefault="003043F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C9454E" w:rsidRDefault="003043F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1、“一般公共服务支出”</w:t>
      </w:r>
      <w:r w:rsidR="00D2204D">
        <w:rPr>
          <w:rFonts w:ascii="仿宋_GB2312" w:eastAsia="仿宋_GB2312" w:hint="eastAsia"/>
          <w:sz w:val="28"/>
          <w:szCs w:val="28"/>
        </w:rPr>
        <w:t xml:space="preserve"> </w:t>
      </w:r>
      <w:r>
        <w:rPr>
          <w:rFonts w:ascii="仿宋_GB2312" w:eastAsia="仿宋_GB2312" w:hint="eastAsia"/>
          <w:sz w:val="28"/>
          <w:szCs w:val="28"/>
        </w:rPr>
        <w:t>2024年度年初预算</w:t>
      </w:r>
      <w:bookmarkStart w:id="0" w:name="OLE_LINK5"/>
      <w:bookmarkStart w:id="1" w:name="OLE_LINK6"/>
      <w:r w:rsidR="00D67F36">
        <w:rPr>
          <w:rFonts w:ascii="仿宋_GB2312" w:eastAsia="仿宋_GB2312" w:hint="eastAsia"/>
          <w:sz w:val="28"/>
          <w:szCs w:val="28"/>
        </w:rPr>
        <w:t>559.91</w:t>
      </w:r>
      <w:bookmarkEnd w:id="0"/>
      <w:bookmarkEnd w:id="1"/>
      <w:r>
        <w:rPr>
          <w:rFonts w:ascii="仿宋_GB2312" w:eastAsia="仿宋_GB2312" w:hint="eastAsia"/>
          <w:sz w:val="28"/>
          <w:szCs w:val="28"/>
        </w:rPr>
        <w:t>万元，2024年度决算</w:t>
      </w:r>
      <w:r w:rsidR="00D67F36">
        <w:rPr>
          <w:rFonts w:ascii="仿宋_GB2312" w:eastAsia="仿宋_GB2312" w:hint="eastAsia"/>
          <w:sz w:val="28"/>
          <w:szCs w:val="28"/>
        </w:rPr>
        <w:t>470.03</w:t>
      </w:r>
      <w:r>
        <w:rPr>
          <w:rFonts w:ascii="仿宋_GB2312" w:eastAsia="仿宋_GB2312" w:hint="eastAsia"/>
          <w:sz w:val="28"/>
          <w:szCs w:val="28"/>
        </w:rPr>
        <w:t>万元，完成年初预算的</w:t>
      </w:r>
      <w:r w:rsidR="00D67F36">
        <w:rPr>
          <w:rFonts w:ascii="仿宋_GB2312" w:eastAsia="仿宋_GB2312" w:hint="eastAsia"/>
          <w:sz w:val="28"/>
          <w:szCs w:val="28"/>
        </w:rPr>
        <w:t>83.95</w:t>
      </w:r>
      <w:r>
        <w:rPr>
          <w:rFonts w:ascii="仿宋_GB2312" w:eastAsia="仿宋_GB2312" w:hint="eastAsia"/>
          <w:sz w:val="28"/>
          <w:szCs w:val="28"/>
        </w:rPr>
        <w:t>%。</w:t>
      </w:r>
    </w:p>
    <w:p w:rsidR="00C9454E" w:rsidRDefault="003043F0">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其中：</w:t>
      </w:r>
    </w:p>
    <w:p w:rsidR="00F61B9E" w:rsidRPr="00F61B9E" w:rsidRDefault="003043F0" w:rsidP="00F61B9E">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sidR="00F61B9E">
        <w:rPr>
          <w:rFonts w:ascii="仿宋_GB2312" w:eastAsia="仿宋_GB2312" w:hint="eastAsia"/>
          <w:sz w:val="28"/>
          <w:szCs w:val="28"/>
        </w:rPr>
        <w:t>市场监督管理事务</w:t>
      </w:r>
      <w:r w:rsidR="00D2204D">
        <w:rPr>
          <w:rFonts w:ascii="仿宋_GB2312" w:eastAsia="仿宋_GB2312" w:hint="eastAsia"/>
          <w:sz w:val="28"/>
          <w:szCs w:val="28"/>
        </w:rPr>
        <w:t>”</w:t>
      </w:r>
      <w:r>
        <w:rPr>
          <w:rFonts w:ascii="仿宋_GB2312" w:eastAsia="仿宋_GB2312" w:hint="eastAsia"/>
          <w:sz w:val="28"/>
          <w:szCs w:val="28"/>
        </w:rPr>
        <w:t>2024年度年初预算</w:t>
      </w:r>
      <w:r w:rsidR="00D2204D">
        <w:rPr>
          <w:rFonts w:ascii="仿宋_GB2312" w:eastAsia="仿宋_GB2312" w:hint="eastAsia"/>
          <w:sz w:val="28"/>
          <w:szCs w:val="28"/>
        </w:rPr>
        <w:t>559.91</w:t>
      </w:r>
      <w:r>
        <w:rPr>
          <w:rFonts w:ascii="仿宋_GB2312" w:eastAsia="仿宋_GB2312" w:hint="eastAsia"/>
          <w:sz w:val="28"/>
          <w:szCs w:val="28"/>
        </w:rPr>
        <w:t>万元，2024年度决算</w:t>
      </w:r>
      <w:r w:rsidR="00F61B9E">
        <w:rPr>
          <w:rFonts w:ascii="仿宋_GB2312" w:eastAsia="仿宋_GB2312" w:hint="eastAsia"/>
          <w:sz w:val="28"/>
          <w:szCs w:val="28"/>
        </w:rPr>
        <w:t>470.03</w:t>
      </w:r>
      <w:r>
        <w:rPr>
          <w:rFonts w:ascii="仿宋_GB2312" w:eastAsia="仿宋_GB2312" w:hint="eastAsia"/>
          <w:sz w:val="28"/>
          <w:szCs w:val="28"/>
        </w:rPr>
        <w:t>万元，完成年初预算的</w:t>
      </w:r>
      <w:r w:rsidR="00F61B9E">
        <w:rPr>
          <w:rFonts w:ascii="仿宋_GB2312" w:eastAsia="仿宋_GB2312" w:hint="eastAsia"/>
          <w:sz w:val="28"/>
          <w:szCs w:val="28"/>
        </w:rPr>
        <w:t>83.95</w:t>
      </w:r>
      <w:r>
        <w:rPr>
          <w:rFonts w:ascii="仿宋_GB2312" w:eastAsia="仿宋_GB2312" w:hint="eastAsia"/>
          <w:sz w:val="28"/>
          <w:szCs w:val="28"/>
        </w:rPr>
        <w:t>%</w:t>
      </w:r>
      <w:r w:rsidRPr="00F61B9E">
        <w:rPr>
          <w:rFonts w:ascii="仿宋_GB2312" w:eastAsia="仿宋_GB2312" w:hint="eastAsia"/>
          <w:sz w:val="28"/>
          <w:szCs w:val="28"/>
        </w:rPr>
        <w:t>。主要原因：</w:t>
      </w:r>
      <w:r w:rsidR="00F61B9E" w:rsidRPr="00F61B9E">
        <w:rPr>
          <w:rFonts w:ascii="仿宋_GB2312" w:eastAsia="仿宋_GB2312" w:hint="eastAsia"/>
          <w:sz w:val="28"/>
          <w:szCs w:val="28"/>
        </w:rPr>
        <w:t>严格落实过“紧日子”要求，压减一般性支出。</w:t>
      </w:r>
    </w:p>
    <w:p w:rsidR="00C9454E" w:rsidRDefault="003043F0">
      <w:pPr>
        <w:spacing w:line="580" w:lineRule="exact"/>
        <w:ind w:firstLineChars="200" w:firstLine="560"/>
        <w:rPr>
          <w:rFonts w:ascii="仿宋_GB2312" w:eastAsia="仿宋_GB2312"/>
          <w:sz w:val="28"/>
          <w:szCs w:val="28"/>
        </w:rPr>
      </w:pPr>
      <w:r>
        <w:rPr>
          <w:rFonts w:ascii="仿宋_GB2312" w:eastAsia="仿宋_GB2312" w:hint="eastAsia"/>
          <w:sz w:val="28"/>
          <w:szCs w:val="28"/>
        </w:rPr>
        <w:t>2、“</w:t>
      </w:r>
      <w:r w:rsidR="00F61B9E">
        <w:rPr>
          <w:rFonts w:ascii="仿宋_GB2312" w:eastAsia="仿宋_GB2312" w:hint="eastAsia"/>
          <w:sz w:val="28"/>
          <w:szCs w:val="28"/>
        </w:rPr>
        <w:t>教育支出</w:t>
      </w:r>
      <w:r>
        <w:rPr>
          <w:rFonts w:ascii="仿宋_GB2312" w:eastAsia="仿宋_GB2312" w:hint="eastAsia"/>
          <w:sz w:val="28"/>
          <w:szCs w:val="28"/>
        </w:rPr>
        <w:t>”2024年度年初预算</w:t>
      </w:r>
      <w:r w:rsidR="00F61B9E">
        <w:rPr>
          <w:rFonts w:ascii="仿宋_GB2312" w:eastAsia="仿宋_GB2312" w:hint="eastAsia"/>
          <w:sz w:val="28"/>
          <w:szCs w:val="28"/>
        </w:rPr>
        <w:t>4.02</w:t>
      </w:r>
      <w:r>
        <w:rPr>
          <w:rFonts w:ascii="仿宋_GB2312" w:eastAsia="仿宋_GB2312" w:hint="eastAsia"/>
          <w:sz w:val="28"/>
          <w:szCs w:val="28"/>
        </w:rPr>
        <w:t>万元，2024年度决算</w:t>
      </w:r>
      <w:r w:rsidR="00F61B9E">
        <w:rPr>
          <w:rFonts w:ascii="仿宋_GB2312" w:eastAsia="仿宋_GB2312" w:hint="eastAsia"/>
          <w:sz w:val="28"/>
          <w:szCs w:val="28"/>
        </w:rPr>
        <w:t>2.22</w:t>
      </w:r>
      <w:r>
        <w:rPr>
          <w:rFonts w:ascii="仿宋_GB2312" w:eastAsia="仿宋_GB2312" w:hint="eastAsia"/>
          <w:sz w:val="28"/>
          <w:szCs w:val="28"/>
        </w:rPr>
        <w:t>万元，完成年初预算的</w:t>
      </w:r>
      <w:r w:rsidR="00F61B9E">
        <w:rPr>
          <w:rFonts w:ascii="仿宋_GB2312" w:eastAsia="仿宋_GB2312" w:hint="eastAsia"/>
          <w:sz w:val="28"/>
          <w:szCs w:val="28"/>
        </w:rPr>
        <w:t>55.30</w:t>
      </w:r>
      <w:r>
        <w:rPr>
          <w:rFonts w:ascii="仿宋_GB2312" w:eastAsia="仿宋_GB2312" w:hint="eastAsia"/>
          <w:sz w:val="28"/>
          <w:szCs w:val="28"/>
        </w:rPr>
        <w:t>%。其中：</w:t>
      </w:r>
    </w:p>
    <w:p w:rsidR="00F61B9E" w:rsidRDefault="003043F0" w:rsidP="00F61B9E">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sidR="00F61B9E">
        <w:rPr>
          <w:rFonts w:ascii="仿宋_GB2312" w:eastAsia="仿宋_GB2312" w:hint="eastAsia"/>
          <w:sz w:val="28"/>
          <w:szCs w:val="28"/>
        </w:rPr>
        <w:t>进修及培训”</w:t>
      </w:r>
      <w:r>
        <w:rPr>
          <w:rFonts w:ascii="仿宋_GB2312" w:eastAsia="仿宋_GB2312" w:hint="eastAsia"/>
          <w:sz w:val="28"/>
          <w:szCs w:val="28"/>
        </w:rPr>
        <w:t>2024年度年初预算</w:t>
      </w:r>
      <w:r w:rsidR="00F61B9E">
        <w:rPr>
          <w:rFonts w:ascii="仿宋_GB2312" w:eastAsia="仿宋_GB2312" w:hint="eastAsia"/>
          <w:sz w:val="28"/>
          <w:szCs w:val="28"/>
        </w:rPr>
        <w:t>4.02</w:t>
      </w:r>
      <w:r>
        <w:rPr>
          <w:rFonts w:ascii="仿宋_GB2312" w:eastAsia="仿宋_GB2312" w:hint="eastAsia"/>
          <w:sz w:val="28"/>
          <w:szCs w:val="28"/>
        </w:rPr>
        <w:t>万元，2024年度决算</w:t>
      </w:r>
      <w:r w:rsidR="00F61B9E">
        <w:rPr>
          <w:rFonts w:ascii="仿宋_GB2312" w:eastAsia="仿宋_GB2312" w:hint="eastAsia"/>
          <w:sz w:val="28"/>
          <w:szCs w:val="28"/>
        </w:rPr>
        <w:t>2.22</w:t>
      </w:r>
      <w:r>
        <w:rPr>
          <w:rFonts w:ascii="仿宋_GB2312" w:eastAsia="仿宋_GB2312" w:hint="eastAsia"/>
          <w:sz w:val="28"/>
          <w:szCs w:val="28"/>
        </w:rPr>
        <w:t>万元，完成年初预算的</w:t>
      </w:r>
      <w:r w:rsidR="00F61B9E">
        <w:rPr>
          <w:rFonts w:ascii="仿宋_GB2312" w:eastAsia="仿宋_GB2312" w:hint="eastAsia"/>
          <w:sz w:val="28"/>
          <w:szCs w:val="28"/>
        </w:rPr>
        <w:t>55.30</w:t>
      </w:r>
      <w:r>
        <w:rPr>
          <w:rFonts w:ascii="仿宋_GB2312" w:eastAsia="仿宋_GB2312" w:hint="eastAsia"/>
          <w:sz w:val="28"/>
          <w:szCs w:val="28"/>
        </w:rPr>
        <w:t>%</w:t>
      </w:r>
      <w:r w:rsidR="00F61B9E">
        <w:rPr>
          <w:rFonts w:ascii="仿宋_GB2312" w:eastAsia="仿宋_GB2312" w:hint="eastAsia"/>
          <w:sz w:val="28"/>
          <w:szCs w:val="28"/>
        </w:rPr>
        <w:t>。主要原因：</w:t>
      </w:r>
      <w:bookmarkStart w:id="2" w:name="OLE_LINK11"/>
      <w:bookmarkStart w:id="3" w:name="OLE_LINK12"/>
      <w:bookmarkStart w:id="4" w:name="OLE_LINK3"/>
      <w:r w:rsidR="00F61B9E">
        <w:rPr>
          <w:rFonts w:ascii="仿宋_GB2312" w:eastAsia="仿宋_GB2312" w:hint="eastAsia"/>
          <w:sz w:val="28"/>
          <w:szCs w:val="28"/>
        </w:rPr>
        <w:t>严格落实过“紧日子”要求，压减一般性支出</w:t>
      </w:r>
      <w:r>
        <w:rPr>
          <w:rFonts w:ascii="仿宋_GB2312" w:eastAsia="仿宋_GB2312" w:hint="eastAsia"/>
          <w:sz w:val="28"/>
          <w:szCs w:val="28"/>
        </w:rPr>
        <w:t>。</w:t>
      </w:r>
      <w:bookmarkEnd w:id="2"/>
      <w:bookmarkEnd w:id="3"/>
      <w:bookmarkEnd w:id="4"/>
    </w:p>
    <w:p w:rsidR="00F61B9E" w:rsidRDefault="00F61B9E" w:rsidP="005B3D3D">
      <w:pPr>
        <w:spacing w:line="580" w:lineRule="exact"/>
        <w:ind w:firstLineChars="200" w:firstLine="560"/>
        <w:rPr>
          <w:rFonts w:ascii="仿宋_GB2312" w:eastAsia="仿宋_GB2312"/>
          <w:sz w:val="28"/>
          <w:szCs w:val="28"/>
        </w:rPr>
      </w:pPr>
      <w:r>
        <w:rPr>
          <w:rFonts w:ascii="仿宋_GB2312" w:eastAsia="仿宋_GB2312" w:hint="eastAsia"/>
          <w:sz w:val="28"/>
          <w:szCs w:val="28"/>
        </w:rPr>
        <w:t>3、“社会保障和就业支出”2024年度年初预算</w:t>
      </w:r>
      <w:bookmarkStart w:id="5" w:name="OLE_LINK19"/>
      <w:bookmarkStart w:id="6" w:name="OLE_LINK20"/>
      <w:r>
        <w:rPr>
          <w:rFonts w:ascii="仿宋_GB2312" w:eastAsia="仿宋_GB2312" w:hint="eastAsia"/>
          <w:sz w:val="28"/>
          <w:szCs w:val="28"/>
        </w:rPr>
        <w:t>61.54</w:t>
      </w:r>
      <w:bookmarkEnd w:id="5"/>
      <w:bookmarkEnd w:id="6"/>
      <w:r>
        <w:rPr>
          <w:rFonts w:ascii="仿宋_GB2312" w:eastAsia="仿宋_GB2312" w:hint="eastAsia"/>
          <w:sz w:val="28"/>
          <w:szCs w:val="28"/>
        </w:rPr>
        <w:t>万元，2024年度决算51.99万元，完成年初预算的84.48%</w:t>
      </w:r>
      <w:r w:rsidR="005B3D3D">
        <w:rPr>
          <w:rFonts w:ascii="仿宋_GB2312" w:eastAsia="仿宋_GB2312" w:hint="eastAsia"/>
          <w:sz w:val="28"/>
          <w:szCs w:val="28"/>
        </w:rPr>
        <w:t>。</w:t>
      </w:r>
      <w:r>
        <w:rPr>
          <w:rFonts w:ascii="仿宋_GB2312" w:eastAsia="仿宋_GB2312" w:hint="eastAsia"/>
          <w:sz w:val="28"/>
          <w:szCs w:val="28"/>
        </w:rPr>
        <w:t>其中：</w:t>
      </w:r>
    </w:p>
    <w:p w:rsidR="00F61B9E" w:rsidRPr="00F61B9E" w:rsidRDefault="00F61B9E" w:rsidP="00F61B9E">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“行政事业单位养老支出” 2024年度年初预算</w:t>
      </w:r>
      <w:r w:rsidR="005B3D3D">
        <w:rPr>
          <w:rFonts w:ascii="仿宋_GB2312" w:eastAsia="仿宋_GB2312" w:hint="eastAsia"/>
          <w:sz w:val="28"/>
          <w:szCs w:val="28"/>
        </w:rPr>
        <w:t>61.54</w:t>
      </w:r>
      <w:r>
        <w:rPr>
          <w:rFonts w:ascii="仿宋_GB2312" w:eastAsia="仿宋_GB2312" w:hint="eastAsia"/>
          <w:sz w:val="28"/>
          <w:szCs w:val="28"/>
        </w:rPr>
        <w:t>万元，2024年度决算</w:t>
      </w:r>
      <w:r w:rsidR="005B3D3D">
        <w:rPr>
          <w:rFonts w:ascii="仿宋_GB2312" w:eastAsia="仿宋_GB2312" w:hint="eastAsia"/>
          <w:sz w:val="28"/>
          <w:szCs w:val="28"/>
        </w:rPr>
        <w:t>51.99</w:t>
      </w:r>
      <w:r>
        <w:rPr>
          <w:rFonts w:ascii="仿宋_GB2312" w:eastAsia="仿宋_GB2312" w:hint="eastAsia"/>
          <w:sz w:val="28"/>
          <w:szCs w:val="28"/>
        </w:rPr>
        <w:t>万元，完成年初预算的</w:t>
      </w:r>
      <w:r w:rsidR="005B3D3D">
        <w:rPr>
          <w:rFonts w:ascii="仿宋_GB2312" w:eastAsia="仿宋_GB2312" w:hint="eastAsia"/>
          <w:sz w:val="28"/>
          <w:szCs w:val="28"/>
        </w:rPr>
        <w:t>84.48</w:t>
      </w:r>
      <w:r>
        <w:rPr>
          <w:rFonts w:ascii="仿宋_GB2312" w:eastAsia="仿宋_GB2312" w:hint="eastAsia"/>
          <w:sz w:val="28"/>
          <w:szCs w:val="28"/>
        </w:rPr>
        <w:t>%。主要原因：</w:t>
      </w:r>
      <w:r w:rsidR="005B3D3D">
        <w:rPr>
          <w:rFonts w:ascii="仿宋_GB2312" w:eastAsia="仿宋_GB2312" w:hint="eastAsia"/>
          <w:sz w:val="28"/>
          <w:szCs w:val="28"/>
        </w:rPr>
        <w:t>落实机关事业单位养老保险政策，按规定缴纳养老保险及职业年金</w:t>
      </w:r>
      <w:r>
        <w:rPr>
          <w:rFonts w:ascii="仿宋_GB2312" w:eastAsia="仿宋_GB2312" w:hint="eastAsia"/>
          <w:sz w:val="28"/>
          <w:szCs w:val="28"/>
        </w:rPr>
        <w:t>。</w:t>
      </w:r>
    </w:p>
    <w:p w:rsidR="00F61B9E" w:rsidRDefault="00F61B9E" w:rsidP="00F61B9E">
      <w:pPr>
        <w:spacing w:line="580" w:lineRule="exact"/>
        <w:ind w:leftChars="267" w:left="561"/>
        <w:rPr>
          <w:rFonts w:ascii="仿宋_GB2312" w:eastAsia="仿宋_GB2312"/>
          <w:sz w:val="28"/>
          <w:szCs w:val="28"/>
        </w:rPr>
      </w:pPr>
      <w:r>
        <w:rPr>
          <w:rFonts w:ascii="仿宋_GB2312" w:eastAsia="仿宋_GB2312" w:hint="eastAsia"/>
          <w:sz w:val="28"/>
          <w:szCs w:val="28"/>
        </w:rPr>
        <w:t>4、“</w:t>
      </w:r>
      <w:r w:rsidR="005B3D3D">
        <w:rPr>
          <w:rFonts w:ascii="仿宋_GB2312" w:eastAsia="仿宋_GB2312" w:hint="eastAsia"/>
          <w:sz w:val="28"/>
          <w:szCs w:val="28"/>
        </w:rPr>
        <w:t>卫生健康支出</w:t>
      </w:r>
      <w:r>
        <w:rPr>
          <w:rFonts w:ascii="仿宋_GB2312" w:eastAsia="仿宋_GB2312" w:hint="eastAsia"/>
          <w:sz w:val="28"/>
          <w:szCs w:val="28"/>
        </w:rPr>
        <w:t>”2024年度年初预算</w:t>
      </w:r>
      <w:r w:rsidR="005B3D3D">
        <w:rPr>
          <w:rFonts w:ascii="仿宋_GB2312" w:eastAsia="仿宋_GB2312" w:hint="eastAsia"/>
          <w:sz w:val="28"/>
          <w:szCs w:val="28"/>
        </w:rPr>
        <w:t>41.10</w:t>
      </w:r>
      <w:r>
        <w:rPr>
          <w:rFonts w:ascii="仿宋_GB2312" w:eastAsia="仿宋_GB2312" w:hint="eastAsia"/>
          <w:sz w:val="28"/>
          <w:szCs w:val="28"/>
        </w:rPr>
        <w:t>万元，2024年度决算</w:t>
      </w:r>
      <w:r w:rsidR="005B3D3D">
        <w:rPr>
          <w:rFonts w:ascii="仿宋_GB2312" w:eastAsia="仿宋_GB2312" w:hint="eastAsia"/>
          <w:sz w:val="28"/>
          <w:szCs w:val="28"/>
        </w:rPr>
        <w:t>36.37</w:t>
      </w:r>
      <w:r>
        <w:rPr>
          <w:rFonts w:ascii="仿宋_GB2312" w:eastAsia="仿宋_GB2312" w:hint="eastAsia"/>
          <w:sz w:val="28"/>
          <w:szCs w:val="28"/>
        </w:rPr>
        <w:t>万元，完成年初预算的</w:t>
      </w:r>
      <w:r w:rsidR="005B3D3D">
        <w:rPr>
          <w:rFonts w:ascii="仿宋_GB2312" w:eastAsia="仿宋_GB2312" w:hint="eastAsia"/>
          <w:sz w:val="28"/>
          <w:szCs w:val="28"/>
        </w:rPr>
        <w:t>88.49</w:t>
      </w:r>
      <w:r>
        <w:rPr>
          <w:rFonts w:ascii="仿宋_GB2312" w:eastAsia="仿宋_GB2312" w:hint="eastAsia"/>
          <w:sz w:val="28"/>
          <w:szCs w:val="28"/>
        </w:rPr>
        <w:t>%。其中：</w:t>
      </w:r>
    </w:p>
    <w:p w:rsidR="00F61B9E" w:rsidRPr="00F61B9E" w:rsidRDefault="00F61B9E" w:rsidP="00F61B9E">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sidR="005B3D3D">
        <w:rPr>
          <w:rFonts w:ascii="仿宋_GB2312" w:eastAsia="仿宋_GB2312" w:hint="eastAsia"/>
          <w:sz w:val="28"/>
          <w:szCs w:val="28"/>
        </w:rPr>
        <w:t>行政事业单位医疗”</w:t>
      </w:r>
      <w:r>
        <w:rPr>
          <w:rFonts w:ascii="仿宋_GB2312" w:eastAsia="仿宋_GB2312" w:hint="eastAsia"/>
          <w:sz w:val="28"/>
          <w:szCs w:val="28"/>
        </w:rPr>
        <w:t>2024年度年初预算</w:t>
      </w:r>
      <w:r w:rsidR="005B3D3D">
        <w:rPr>
          <w:rFonts w:ascii="仿宋_GB2312" w:eastAsia="仿宋_GB2312" w:hint="eastAsia"/>
          <w:sz w:val="28"/>
          <w:szCs w:val="28"/>
        </w:rPr>
        <w:t>41.10</w:t>
      </w:r>
      <w:r>
        <w:rPr>
          <w:rFonts w:ascii="仿宋_GB2312" w:eastAsia="仿宋_GB2312" w:hint="eastAsia"/>
          <w:sz w:val="28"/>
          <w:szCs w:val="28"/>
        </w:rPr>
        <w:t>万元，2024年度决算</w:t>
      </w:r>
      <w:r w:rsidR="005B3D3D">
        <w:rPr>
          <w:rFonts w:ascii="仿宋_GB2312" w:eastAsia="仿宋_GB2312" w:hint="eastAsia"/>
          <w:sz w:val="28"/>
          <w:szCs w:val="28"/>
        </w:rPr>
        <w:t>36.37</w:t>
      </w:r>
      <w:r>
        <w:rPr>
          <w:rFonts w:ascii="仿宋_GB2312" w:eastAsia="仿宋_GB2312" w:hint="eastAsia"/>
          <w:sz w:val="28"/>
          <w:szCs w:val="28"/>
        </w:rPr>
        <w:t>万元，完成年初预算的</w:t>
      </w:r>
      <w:r w:rsidR="005B3D3D">
        <w:rPr>
          <w:rFonts w:ascii="仿宋_GB2312" w:eastAsia="仿宋_GB2312" w:hint="eastAsia"/>
          <w:sz w:val="28"/>
          <w:szCs w:val="28"/>
        </w:rPr>
        <w:t>88.49</w:t>
      </w:r>
      <w:r>
        <w:rPr>
          <w:rFonts w:ascii="仿宋_GB2312" w:eastAsia="仿宋_GB2312" w:hint="eastAsia"/>
          <w:sz w:val="28"/>
          <w:szCs w:val="28"/>
        </w:rPr>
        <w:t>%。主要原因：</w:t>
      </w:r>
      <w:r w:rsidR="005B3D3D">
        <w:rPr>
          <w:rFonts w:ascii="仿宋_GB2312" w:eastAsia="仿宋_GB2312" w:hint="eastAsia"/>
          <w:sz w:val="28"/>
          <w:szCs w:val="28"/>
        </w:rPr>
        <w:t>落实全市统一要求，缴纳职工基本医疗保险</w:t>
      </w:r>
      <w:r>
        <w:rPr>
          <w:rFonts w:ascii="仿宋_GB2312" w:eastAsia="仿宋_GB2312" w:hint="eastAsia"/>
          <w:sz w:val="28"/>
          <w:szCs w:val="28"/>
        </w:rPr>
        <w:t>。</w:t>
      </w:r>
    </w:p>
    <w:p w:rsidR="00C9454E" w:rsidRDefault="003043F0" w:rsidP="004E4EBE">
      <w:pPr>
        <w:spacing w:line="580" w:lineRule="exact"/>
        <w:ind w:firstLineChars="200" w:firstLine="562"/>
        <w:rPr>
          <w:rFonts w:ascii="仿宋_GB2312" w:eastAsia="仿宋_GB2312"/>
          <w:sz w:val="28"/>
          <w:szCs w:val="28"/>
        </w:rPr>
      </w:pPr>
      <w:r>
        <w:rPr>
          <w:rFonts w:ascii="黑体" w:eastAsia="黑体" w:hint="eastAsia"/>
          <w:b/>
          <w:sz w:val="28"/>
          <w:szCs w:val="28"/>
        </w:rPr>
        <w:lastRenderedPageBreak/>
        <w:t>五、政府性基金预算财政拨款支出决算情况说明</w:t>
      </w:r>
    </w:p>
    <w:p w:rsidR="005B3D3D" w:rsidRDefault="005B3D3D" w:rsidP="005B3D3D">
      <w:pPr>
        <w:spacing w:line="580" w:lineRule="exact"/>
        <w:ind w:firstLineChars="200" w:firstLine="560"/>
        <w:rPr>
          <w:rFonts w:ascii="仿宋_GB2312" w:eastAsia="仿宋_GB2312"/>
          <w:sz w:val="28"/>
          <w:szCs w:val="28"/>
        </w:rPr>
      </w:pPr>
      <w:r>
        <w:rPr>
          <w:rFonts w:ascii="仿宋_GB2312" w:eastAsia="仿宋_GB2312" w:hint="eastAsia"/>
          <w:sz w:val="28"/>
          <w:szCs w:val="28"/>
        </w:rPr>
        <w:t>本单位无此项支出。</w:t>
      </w:r>
    </w:p>
    <w:p w:rsidR="00C9454E" w:rsidRDefault="003043F0" w:rsidP="004E4EBE">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5B3D3D" w:rsidRDefault="005B3D3D" w:rsidP="005B3D3D">
      <w:pPr>
        <w:spacing w:line="580" w:lineRule="exact"/>
        <w:ind w:firstLineChars="196" w:firstLine="549"/>
        <w:rPr>
          <w:rFonts w:ascii="仿宋_GB2312" w:eastAsia="仿宋_GB2312"/>
          <w:sz w:val="28"/>
          <w:szCs w:val="28"/>
        </w:rPr>
      </w:pPr>
      <w:bookmarkStart w:id="7" w:name="OLE_LINK25"/>
      <w:bookmarkStart w:id="8" w:name="OLE_LINK26"/>
      <w:r>
        <w:rPr>
          <w:rFonts w:ascii="仿宋_GB2312" w:eastAsia="仿宋_GB2312" w:hint="eastAsia"/>
          <w:sz w:val="28"/>
          <w:szCs w:val="28"/>
        </w:rPr>
        <w:t>本单位无此项经费。</w:t>
      </w:r>
    </w:p>
    <w:bookmarkEnd w:id="7"/>
    <w:bookmarkEnd w:id="8"/>
    <w:p w:rsidR="00C9454E" w:rsidRDefault="003043F0" w:rsidP="004E4EBE">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014E45" w:rsidRPr="00014E45" w:rsidRDefault="003043F0" w:rsidP="00014E45">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493.17</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014E45" w:rsidRDefault="00014E45">
      <w:pPr>
        <w:tabs>
          <w:tab w:val="center" w:pos="6979"/>
        </w:tabs>
        <w:jc w:val="center"/>
        <w:rPr>
          <w:rFonts w:ascii="宋体" w:hAnsi="宋体" w:cs="宋体"/>
          <w:b/>
          <w:bCs/>
          <w:spacing w:val="40"/>
          <w:kern w:val="0"/>
          <w:sz w:val="32"/>
          <w:szCs w:val="32"/>
        </w:rPr>
      </w:pPr>
    </w:p>
    <w:p w:rsidR="00014E45" w:rsidRDefault="00014E45">
      <w:pPr>
        <w:tabs>
          <w:tab w:val="center" w:pos="6979"/>
        </w:tabs>
        <w:jc w:val="center"/>
        <w:rPr>
          <w:rFonts w:ascii="宋体" w:hAnsi="宋体" w:cs="宋体"/>
          <w:b/>
          <w:bCs/>
          <w:spacing w:val="40"/>
          <w:kern w:val="0"/>
          <w:sz w:val="32"/>
          <w:szCs w:val="32"/>
        </w:rPr>
      </w:pPr>
    </w:p>
    <w:p w:rsidR="00014E45" w:rsidRDefault="00014E45">
      <w:pPr>
        <w:tabs>
          <w:tab w:val="center" w:pos="6979"/>
        </w:tabs>
        <w:jc w:val="center"/>
        <w:rPr>
          <w:rFonts w:ascii="宋体" w:hAnsi="宋体" w:cs="宋体"/>
          <w:b/>
          <w:bCs/>
          <w:spacing w:val="40"/>
          <w:kern w:val="0"/>
          <w:sz w:val="32"/>
          <w:szCs w:val="32"/>
        </w:rPr>
      </w:pPr>
    </w:p>
    <w:p w:rsidR="00014E45" w:rsidRDefault="00014E45">
      <w:pPr>
        <w:tabs>
          <w:tab w:val="center" w:pos="6979"/>
        </w:tabs>
        <w:jc w:val="center"/>
        <w:rPr>
          <w:rFonts w:ascii="宋体" w:hAnsi="宋体" w:cs="宋体"/>
          <w:b/>
          <w:bCs/>
          <w:spacing w:val="40"/>
          <w:kern w:val="0"/>
          <w:sz w:val="32"/>
          <w:szCs w:val="32"/>
        </w:rPr>
      </w:pPr>
    </w:p>
    <w:p w:rsidR="00C9454E" w:rsidRDefault="003043F0">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rsidR="00C9454E" w:rsidRDefault="003043F0">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C9454E" w:rsidRDefault="003043F0">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0.77</w:t>
      </w:r>
      <w:r>
        <w:rPr>
          <w:rFonts w:ascii="仿宋_GB2312" w:eastAsia="仿宋_GB2312" w:hint="eastAsia"/>
          <w:sz w:val="28"/>
          <w:szCs w:val="28"/>
        </w:rPr>
        <w:t>万元，比2024年度“三公”经费财政拨款年初预算</w:t>
      </w:r>
      <w:r>
        <w:rPr>
          <w:rFonts w:ascii="仿宋_GB2312" w:eastAsia="仿宋_GB2312"/>
          <w:sz w:val="28"/>
          <w:szCs w:val="28"/>
        </w:rPr>
        <w:t>2.35</w:t>
      </w:r>
      <w:r>
        <w:rPr>
          <w:rFonts w:ascii="仿宋_GB2312" w:eastAsia="仿宋_GB2312" w:hint="eastAsia"/>
          <w:sz w:val="28"/>
          <w:szCs w:val="28"/>
        </w:rPr>
        <w:t>万元</w:t>
      </w:r>
      <w:r w:rsidR="005B3D3D">
        <w:rPr>
          <w:rFonts w:ascii="仿宋_GB2312" w:eastAsia="仿宋_GB2312" w:hint="eastAsia"/>
          <w:sz w:val="28"/>
          <w:szCs w:val="28"/>
        </w:rPr>
        <w:t>减少</w:t>
      </w:r>
      <w:r>
        <w:rPr>
          <w:rFonts w:ascii="仿宋_GB2312" w:eastAsia="仿宋_GB2312"/>
          <w:sz w:val="28"/>
          <w:szCs w:val="28"/>
        </w:rPr>
        <w:t>1.58</w:t>
      </w:r>
      <w:r>
        <w:rPr>
          <w:rFonts w:ascii="仿宋_GB2312" w:eastAsia="仿宋_GB2312" w:hint="eastAsia"/>
          <w:sz w:val="28"/>
          <w:szCs w:val="28"/>
        </w:rPr>
        <w:t>万元。其中：</w:t>
      </w:r>
    </w:p>
    <w:p w:rsidR="00C9454E" w:rsidRDefault="003043F0">
      <w:pPr>
        <w:spacing w:line="560" w:lineRule="exact"/>
        <w:ind w:firstLine="600"/>
        <w:rPr>
          <w:rFonts w:ascii="仿宋_GB2312" w:eastAsia="仿宋_GB2312"/>
          <w:sz w:val="28"/>
          <w:szCs w:val="28"/>
        </w:rPr>
      </w:pPr>
      <w:r>
        <w:rPr>
          <w:rFonts w:ascii="仿宋_GB2312" w:eastAsia="仿宋_GB2312" w:hint="eastAsia"/>
          <w:sz w:val="28"/>
          <w:szCs w:val="28"/>
        </w:rPr>
        <w:t>1.因公出国（境）费用。2024年度决算数</w:t>
      </w:r>
      <w:r>
        <w:rPr>
          <w:rFonts w:ascii="仿宋_GB2312" w:eastAsia="仿宋_GB2312"/>
          <w:sz w:val="28"/>
          <w:szCs w:val="28"/>
        </w:rPr>
        <w:t>0</w:t>
      </w:r>
      <w:r>
        <w:rPr>
          <w:rFonts w:ascii="仿宋_GB2312" w:eastAsia="仿宋_GB2312" w:hint="eastAsia"/>
          <w:sz w:val="28"/>
          <w:szCs w:val="28"/>
        </w:rPr>
        <w:t>万元，</w:t>
      </w:r>
      <w:r w:rsidR="00B5287C">
        <w:rPr>
          <w:rFonts w:ascii="仿宋_GB2312" w:eastAsia="仿宋_GB2312" w:hint="eastAsia"/>
          <w:sz w:val="28"/>
          <w:szCs w:val="28"/>
        </w:rPr>
        <w:t>与2024年度年初预算数0万元持平</w:t>
      </w:r>
      <w:bookmarkStart w:id="9" w:name="OLE_LINK1"/>
      <w:bookmarkStart w:id="10" w:name="OLE_LINK2"/>
      <w:r>
        <w:rPr>
          <w:rFonts w:ascii="仿宋_GB2312" w:eastAsia="仿宋_GB2312" w:hint="eastAsia"/>
          <w:sz w:val="28"/>
          <w:szCs w:val="28"/>
        </w:rPr>
        <w:t>。主要原因：</w:t>
      </w:r>
      <w:r w:rsidR="00B5287C">
        <w:rPr>
          <w:rFonts w:ascii="仿宋_GB2312" w:eastAsia="仿宋_GB2312" w:hint="eastAsia"/>
          <w:sz w:val="28"/>
          <w:szCs w:val="28"/>
        </w:rPr>
        <w:t>全年未安排因公出国任务；2024年度因公出国</w:t>
      </w:r>
      <w:r>
        <w:rPr>
          <w:rFonts w:ascii="仿宋_GB2312" w:eastAsia="仿宋_GB2312" w:hint="eastAsia"/>
          <w:sz w:val="28"/>
          <w:szCs w:val="28"/>
        </w:rPr>
        <w:t>（境）费用</w:t>
      </w:r>
      <w:r w:rsidR="00B5287C">
        <w:rPr>
          <w:rFonts w:ascii="仿宋_GB2312" w:eastAsia="仿宋_GB2312" w:hint="eastAsia"/>
          <w:sz w:val="28"/>
          <w:szCs w:val="28"/>
        </w:rPr>
        <w:t>无支出。</w:t>
      </w:r>
      <w:bookmarkEnd w:id="9"/>
      <w:bookmarkEnd w:id="10"/>
    </w:p>
    <w:p w:rsidR="00C9454E" w:rsidRDefault="003043F0">
      <w:pPr>
        <w:spacing w:line="560" w:lineRule="exact"/>
        <w:ind w:firstLine="600"/>
        <w:rPr>
          <w:rFonts w:ascii="仿宋_GB2312" w:eastAsia="仿宋_GB2312"/>
          <w:sz w:val="28"/>
          <w:szCs w:val="28"/>
        </w:rPr>
      </w:pPr>
      <w:r>
        <w:rPr>
          <w:rFonts w:ascii="仿宋_GB2312" w:eastAsia="仿宋_GB2312" w:hint="eastAsia"/>
          <w:sz w:val="28"/>
          <w:szCs w:val="28"/>
        </w:rPr>
        <w:t>2.公务接待费。2024年度决算数</w:t>
      </w:r>
      <w:r>
        <w:rPr>
          <w:rFonts w:ascii="仿宋_GB2312" w:eastAsia="仿宋_GB2312"/>
          <w:sz w:val="28"/>
          <w:szCs w:val="28"/>
        </w:rPr>
        <w:t>0</w:t>
      </w:r>
      <w:r>
        <w:rPr>
          <w:rFonts w:ascii="仿宋_GB2312" w:eastAsia="仿宋_GB2312" w:hint="eastAsia"/>
          <w:sz w:val="28"/>
          <w:szCs w:val="28"/>
        </w:rPr>
        <w:t>万元，</w:t>
      </w:r>
      <w:r w:rsidR="00B5287C">
        <w:rPr>
          <w:rFonts w:ascii="仿宋_GB2312" w:eastAsia="仿宋_GB2312" w:hint="eastAsia"/>
          <w:sz w:val="28"/>
          <w:szCs w:val="28"/>
        </w:rPr>
        <w:t>与2024年度年初预算数0万元持平。主要原因：贯彻落实中央八项规定，严格控制公务接待支出；2024年度公务接待费无支出。</w:t>
      </w:r>
    </w:p>
    <w:p w:rsidR="00C9454E" w:rsidRDefault="003043F0">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3.公务用车购置及运行维护费。2024年度决算数</w:t>
      </w:r>
      <w:r>
        <w:rPr>
          <w:rFonts w:ascii="仿宋_GB2312" w:eastAsia="仿宋_GB2312"/>
          <w:sz w:val="28"/>
          <w:szCs w:val="28"/>
        </w:rPr>
        <w:t>0.77</w:t>
      </w:r>
      <w:r>
        <w:rPr>
          <w:rFonts w:ascii="仿宋_GB2312" w:eastAsia="仿宋_GB2312" w:hint="eastAsia"/>
          <w:sz w:val="28"/>
          <w:szCs w:val="28"/>
        </w:rPr>
        <w:t>万元，</w:t>
      </w:r>
      <w:bookmarkStart w:id="11" w:name="OLE_LINK4"/>
      <w:bookmarkStart w:id="12" w:name="OLE_LINK7"/>
      <w:r>
        <w:rPr>
          <w:rFonts w:ascii="仿宋_GB2312" w:eastAsia="仿宋_GB2312" w:hint="eastAsia"/>
          <w:sz w:val="28"/>
          <w:szCs w:val="28"/>
        </w:rPr>
        <w:t>比2024年度年初预算数</w:t>
      </w:r>
      <w:r>
        <w:rPr>
          <w:rFonts w:ascii="仿宋_GB2312" w:eastAsia="仿宋_GB2312"/>
          <w:sz w:val="28"/>
          <w:szCs w:val="28"/>
        </w:rPr>
        <w:t>2.35</w:t>
      </w:r>
      <w:r>
        <w:rPr>
          <w:rFonts w:ascii="仿宋_GB2312" w:eastAsia="仿宋_GB2312" w:hint="eastAsia"/>
          <w:sz w:val="28"/>
          <w:szCs w:val="28"/>
        </w:rPr>
        <w:t>万元</w:t>
      </w:r>
      <w:r w:rsidR="00B5287C">
        <w:rPr>
          <w:rFonts w:ascii="仿宋_GB2312" w:eastAsia="仿宋_GB2312" w:hint="eastAsia"/>
          <w:sz w:val="28"/>
          <w:szCs w:val="28"/>
        </w:rPr>
        <w:t>减少</w:t>
      </w:r>
      <w:r>
        <w:rPr>
          <w:rFonts w:ascii="仿宋_GB2312" w:eastAsia="仿宋_GB2312"/>
          <w:sz w:val="28"/>
          <w:szCs w:val="28"/>
        </w:rPr>
        <w:t>1.58</w:t>
      </w:r>
      <w:r>
        <w:rPr>
          <w:rFonts w:ascii="仿宋_GB2312" w:eastAsia="仿宋_GB2312" w:hint="eastAsia"/>
          <w:sz w:val="28"/>
          <w:szCs w:val="28"/>
        </w:rPr>
        <w:t>万元。</w:t>
      </w:r>
      <w:bookmarkEnd w:id="11"/>
      <w:bookmarkEnd w:id="12"/>
      <w:r>
        <w:rPr>
          <w:rFonts w:ascii="仿宋_GB2312" w:eastAsia="仿宋_GB2312" w:hint="eastAsia"/>
          <w:sz w:val="28"/>
          <w:szCs w:val="28"/>
        </w:rPr>
        <w:t>其中，公务用车购置费2024年度决算数0</w:t>
      </w:r>
      <w:r w:rsidR="00B5287C">
        <w:rPr>
          <w:rFonts w:ascii="仿宋_GB2312" w:eastAsia="仿宋_GB2312" w:hint="eastAsia"/>
          <w:sz w:val="28"/>
          <w:szCs w:val="28"/>
        </w:rPr>
        <w:t>万元，主要原因：2024年度本单位无车辆购置（更新）计划</w:t>
      </w:r>
      <w:r>
        <w:rPr>
          <w:rFonts w:ascii="仿宋_GB2312" w:eastAsia="仿宋_GB2312" w:hint="eastAsia"/>
          <w:sz w:val="28"/>
          <w:szCs w:val="28"/>
        </w:rPr>
        <w:t>，2024年度购置（更新）0辆。公务用车运行维护费2024年度决算数0.77万元，主要原因：</w:t>
      </w:r>
      <w:r w:rsidR="00777A39">
        <w:rPr>
          <w:rFonts w:ascii="仿宋_GB2312" w:eastAsia="仿宋_GB2312" w:hint="eastAsia"/>
          <w:sz w:val="28"/>
          <w:szCs w:val="28"/>
        </w:rPr>
        <w:t>严格落实过“紧日子”要求，压减一般性支出</w:t>
      </w:r>
      <w:r>
        <w:rPr>
          <w:rFonts w:ascii="仿宋_GB2312" w:eastAsia="仿宋_GB2312" w:hint="eastAsia"/>
          <w:sz w:val="28"/>
          <w:szCs w:val="28"/>
        </w:rPr>
        <w:t>。2024年度公务用车保有量</w:t>
      </w:r>
      <w:r>
        <w:rPr>
          <w:rFonts w:ascii="仿宋_GB2312" w:eastAsia="仿宋_GB2312"/>
          <w:sz w:val="28"/>
          <w:szCs w:val="28"/>
        </w:rPr>
        <w:t>2</w:t>
      </w:r>
      <w:r>
        <w:rPr>
          <w:rFonts w:ascii="仿宋_GB2312" w:eastAsia="仿宋_GB2312" w:hint="eastAsia"/>
          <w:sz w:val="28"/>
          <w:szCs w:val="28"/>
        </w:rPr>
        <w:t>辆。</w:t>
      </w:r>
    </w:p>
    <w:p w:rsidR="00C9454E" w:rsidRDefault="003043F0">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C9454E" w:rsidRPr="00777A39" w:rsidRDefault="00777A39" w:rsidP="00777A39">
      <w:pPr>
        <w:spacing w:line="560" w:lineRule="exact"/>
        <w:ind w:left="540"/>
        <w:rPr>
          <w:rFonts w:ascii="仿宋_GB2312" w:eastAsia="仿宋_GB2312"/>
          <w:sz w:val="28"/>
          <w:szCs w:val="28"/>
        </w:rPr>
      </w:pPr>
      <w:r>
        <w:rPr>
          <w:rFonts w:ascii="仿宋_GB2312" w:eastAsia="仿宋_GB2312" w:hint="eastAsia"/>
          <w:sz w:val="28"/>
          <w:szCs w:val="28"/>
        </w:rPr>
        <w:t>本单位不在机关运行经费统计范围之内。</w:t>
      </w:r>
    </w:p>
    <w:p w:rsidR="00C9454E" w:rsidRDefault="003043F0">
      <w:pPr>
        <w:ind w:left="540"/>
        <w:rPr>
          <w:rFonts w:ascii="黑体" w:eastAsia="黑体"/>
          <w:sz w:val="28"/>
          <w:szCs w:val="28"/>
        </w:rPr>
      </w:pPr>
      <w:r>
        <w:rPr>
          <w:rFonts w:ascii="黑体" w:eastAsia="黑体" w:hint="eastAsia"/>
          <w:sz w:val="28"/>
          <w:szCs w:val="28"/>
        </w:rPr>
        <w:t>三、政府采购支出情况</w:t>
      </w:r>
    </w:p>
    <w:p w:rsidR="00C9454E" w:rsidRDefault="003043F0" w:rsidP="004E4EBE">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18.56</w:t>
      </w:r>
      <w:r>
        <w:rPr>
          <w:rFonts w:ascii="仿宋_GB2312" w:eastAsia="仿宋_GB2312" w:hint="eastAsia"/>
          <w:sz w:val="28"/>
          <w:szCs w:val="28"/>
        </w:rPr>
        <w:t>万元，其中：政府采购货物支出</w:t>
      </w:r>
      <w:r>
        <w:rPr>
          <w:rFonts w:ascii="仿宋_GB2312" w:eastAsia="仿宋_GB2312"/>
          <w:sz w:val="28"/>
          <w:szCs w:val="28"/>
        </w:rPr>
        <w:t>0.13</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w:t>
      </w:r>
      <w:r>
        <w:rPr>
          <w:rFonts w:ascii="仿宋_GB2312" w:eastAsia="仿宋_GB2312" w:hint="eastAsia"/>
          <w:sz w:val="28"/>
          <w:szCs w:val="28"/>
        </w:rPr>
        <w:lastRenderedPageBreak/>
        <w:t>购服务支出</w:t>
      </w:r>
      <w:r>
        <w:rPr>
          <w:rFonts w:ascii="仿宋_GB2312" w:eastAsia="仿宋_GB2312"/>
          <w:sz w:val="28"/>
          <w:szCs w:val="28"/>
        </w:rPr>
        <w:t>18.43</w:t>
      </w:r>
      <w:r>
        <w:rPr>
          <w:rFonts w:ascii="仿宋_GB2312" w:eastAsia="仿宋_GB2312" w:hint="eastAsia"/>
          <w:sz w:val="28"/>
          <w:szCs w:val="28"/>
        </w:rPr>
        <w:t>万元。授予中小企业合同金额</w:t>
      </w:r>
      <w:r>
        <w:rPr>
          <w:rFonts w:ascii="仿宋_GB2312" w:eastAsia="仿宋_GB2312"/>
          <w:sz w:val="28"/>
          <w:szCs w:val="28"/>
        </w:rPr>
        <w:t>18.38</w:t>
      </w:r>
      <w:r>
        <w:rPr>
          <w:rFonts w:ascii="仿宋_GB2312" w:eastAsia="仿宋_GB2312" w:hint="eastAsia"/>
          <w:sz w:val="28"/>
          <w:szCs w:val="28"/>
        </w:rPr>
        <w:t>万元，占政府采购支出总额的99%，其中：授予小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0.55</w:t>
      </w:r>
      <w:r>
        <w:rPr>
          <w:rFonts w:ascii="仿宋_GB2312" w:eastAsia="仿宋_GB2312" w:hint="eastAsia"/>
          <w:sz w:val="28"/>
          <w:szCs w:val="28"/>
        </w:rPr>
        <w:t>万元，占政府采购支出总额的</w:t>
      </w:r>
      <w:r>
        <w:rPr>
          <w:rFonts w:ascii="仿宋_GB2312" w:eastAsia="仿宋_GB2312"/>
          <w:sz w:val="28"/>
          <w:szCs w:val="28"/>
        </w:rPr>
        <w:t>2.96</w:t>
      </w:r>
      <w:r>
        <w:rPr>
          <w:rFonts w:ascii="仿宋_GB2312" w:eastAsia="仿宋_GB2312" w:hint="eastAsia"/>
          <w:sz w:val="28"/>
          <w:szCs w:val="28"/>
        </w:rPr>
        <w:t>%。</w:t>
      </w:r>
    </w:p>
    <w:p w:rsidR="00C9454E" w:rsidRDefault="003043F0">
      <w:pPr>
        <w:ind w:firstLineChars="200" w:firstLine="560"/>
        <w:rPr>
          <w:rFonts w:ascii="黑体" w:eastAsia="黑体"/>
          <w:sz w:val="28"/>
          <w:szCs w:val="28"/>
          <w:highlight w:val="yellow"/>
        </w:rPr>
      </w:pPr>
      <w:r>
        <w:rPr>
          <w:rFonts w:ascii="黑体" w:eastAsia="黑体" w:hint="eastAsia"/>
          <w:sz w:val="28"/>
          <w:szCs w:val="28"/>
        </w:rPr>
        <w:t>四、国有资产占用情况</w:t>
      </w:r>
    </w:p>
    <w:p w:rsidR="00C9454E" w:rsidRDefault="003043F0">
      <w:pPr>
        <w:ind w:firstLineChars="200" w:firstLine="560"/>
        <w:rPr>
          <w:rFonts w:ascii="仿宋_GB2312" w:eastAsia="仿宋_GB2312"/>
          <w:sz w:val="32"/>
          <w:szCs w:val="32"/>
        </w:rPr>
      </w:pPr>
      <w:r>
        <w:rPr>
          <w:rFonts w:ascii="仿宋_GB2312" w:eastAsia="仿宋_GB2312" w:hint="eastAsia"/>
          <w:sz w:val="28"/>
          <w:szCs w:val="28"/>
        </w:rPr>
        <w:t>截至12月31日，北京市药品监督管理局综合事务中心共有车辆2台；单位价值100万元（含）以上的设备0台（套）。</w:t>
      </w:r>
    </w:p>
    <w:p w:rsidR="00C9454E" w:rsidRDefault="003043F0" w:rsidP="004E4EBE">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C9454E" w:rsidRPr="009961B2" w:rsidRDefault="009961B2" w:rsidP="009961B2">
      <w:pPr>
        <w:spacing w:line="560" w:lineRule="exact"/>
        <w:ind w:firstLineChars="192" w:firstLine="538"/>
        <w:rPr>
          <w:rFonts w:ascii="仿宋_GB2312" w:eastAsia="仿宋_GB2312"/>
          <w:sz w:val="28"/>
          <w:szCs w:val="28"/>
        </w:rPr>
      </w:pPr>
      <w:r>
        <w:rPr>
          <w:rFonts w:ascii="仿宋_GB2312" w:eastAsia="仿宋_GB2312" w:hint="eastAsia"/>
          <w:sz w:val="28"/>
          <w:szCs w:val="28"/>
        </w:rPr>
        <w:t>本单位不属于政府购买服务购买主体。</w:t>
      </w:r>
    </w:p>
    <w:p w:rsidR="00C9454E" w:rsidRDefault="003043F0">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C9454E" w:rsidRDefault="003043F0">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C9454E" w:rsidRDefault="003043F0">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C9454E" w:rsidRDefault="003043F0">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rsidR="00C9454E" w:rsidRDefault="003043F0" w:rsidP="009961B2">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w:t>
      </w:r>
      <w:r>
        <w:rPr>
          <w:rFonts w:ascii="仿宋_GB2312" w:eastAsia="仿宋_GB2312" w:hAnsi="宋体" w:hint="eastAsia"/>
          <w:sz w:val="28"/>
          <w:szCs w:val="28"/>
        </w:rPr>
        <w:lastRenderedPageBreak/>
        <w:t>用房取暖费、办公用房物业管理费、公务用车运行维护费以及其他费用。</w:t>
      </w:r>
    </w:p>
    <w:p w:rsidR="00C9454E" w:rsidRDefault="003043F0" w:rsidP="009961B2">
      <w:pPr>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C9454E" w:rsidRDefault="003043F0" w:rsidP="009961B2">
      <w:pPr>
        <w:ind w:firstLineChars="200" w:firstLine="56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9961B2" w:rsidRDefault="009961B2" w:rsidP="009961B2">
      <w:pPr>
        <w:ind w:firstLineChars="200" w:firstLine="560"/>
        <w:rPr>
          <w:rFonts w:ascii="仿宋_GB2312" w:eastAsia="仿宋_GB2312"/>
          <w:sz w:val="28"/>
          <w:szCs w:val="28"/>
        </w:rPr>
      </w:pPr>
      <w:r>
        <w:rPr>
          <w:rFonts w:ascii="仿宋_GB2312" w:eastAsia="仿宋_GB2312" w:hint="eastAsia"/>
          <w:sz w:val="28"/>
          <w:szCs w:val="28"/>
        </w:rPr>
        <w:t>7.一般公共服务支出（类）市场监督管理事务（款）事业运行（项）：反映事业单位的基本支出。</w:t>
      </w:r>
    </w:p>
    <w:p w:rsidR="009961B2" w:rsidRDefault="00014E45" w:rsidP="009961B2">
      <w:pPr>
        <w:ind w:firstLineChars="200" w:firstLine="560"/>
        <w:rPr>
          <w:rFonts w:ascii="仿宋_GB2312" w:eastAsia="仿宋_GB2312"/>
          <w:sz w:val="28"/>
          <w:szCs w:val="28"/>
        </w:rPr>
      </w:pPr>
      <w:r>
        <w:rPr>
          <w:rFonts w:ascii="仿宋_GB2312" w:eastAsia="仿宋_GB2312" w:hint="eastAsia"/>
          <w:sz w:val="28"/>
          <w:szCs w:val="28"/>
        </w:rPr>
        <w:t>8</w:t>
      </w:r>
      <w:r w:rsidR="009961B2">
        <w:rPr>
          <w:rFonts w:ascii="仿宋_GB2312" w:eastAsia="仿宋_GB2312" w:hint="eastAsia"/>
          <w:sz w:val="28"/>
          <w:szCs w:val="28"/>
        </w:rPr>
        <w:t>.社会保障和就业支出（类）行政事业单位养老支出（款）事业单位离退休（项）：反映事业单位开支的离退休经费。</w:t>
      </w:r>
    </w:p>
    <w:p w:rsidR="009961B2" w:rsidRDefault="00014E45" w:rsidP="009961B2">
      <w:pPr>
        <w:ind w:firstLineChars="200" w:firstLine="560"/>
        <w:rPr>
          <w:rFonts w:ascii="仿宋_GB2312" w:eastAsia="仿宋_GB2312"/>
          <w:sz w:val="28"/>
          <w:szCs w:val="28"/>
        </w:rPr>
      </w:pPr>
      <w:r>
        <w:rPr>
          <w:rFonts w:ascii="仿宋_GB2312" w:eastAsia="仿宋_GB2312" w:hint="eastAsia"/>
          <w:sz w:val="28"/>
          <w:szCs w:val="28"/>
        </w:rPr>
        <w:t>9</w:t>
      </w:r>
      <w:r w:rsidR="009961B2">
        <w:rPr>
          <w:rFonts w:ascii="仿宋_GB2312" w:eastAsia="仿宋_GB2312" w:hint="eastAsia"/>
          <w:sz w:val="28"/>
          <w:szCs w:val="28"/>
        </w:rPr>
        <w:t>.社会保障和就业支出（类）行政事业单位养老支出（款）机关事业单位基本养老保险缴费支出（项）：反映机关事业单位实施养老保险制度由单位缴纳的基本养老保险费支出。</w:t>
      </w:r>
    </w:p>
    <w:p w:rsidR="009961B2" w:rsidRDefault="009961B2" w:rsidP="009961B2">
      <w:pPr>
        <w:ind w:firstLineChars="200" w:firstLine="560"/>
        <w:rPr>
          <w:rFonts w:ascii="仿宋_GB2312" w:eastAsia="仿宋_GB2312"/>
          <w:sz w:val="28"/>
          <w:szCs w:val="28"/>
        </w:rPr>
      </w:pPr>
      <w:r>
        <w:rPr>
          <w:rFonts w:ascii="仿宋_GB2312" w:eastAsia="仿宋_GB2312" w:hint="eastAsia"/>
          <w:sz w:val="28"/>
          <w:szCs w:val="28"/>
        </w:rPr>
        <w:t>1</w:t>
      </w:r>
      <w:r w:rsidR="00014E45">
        <w:rPr>
          <w:rFonts w:ascii="仿宋_GB2312" w:eastAsia="仿宋_GB2312" w:hint="eastAsia"/>
          <w:sz w:val="28"/>
          <w:szCs w:val="28"/>
        </w:rPr>
        <w:t>0</w:t>
      </w:r>
      <w:r>
        <w:rPr>
          <w:rFonts w:ascii="仿宋_GB2312" w:eastAsia="仿宋_GB2312" w:hint="eastAsia"/>
          <w:sz w:val="28"/>
          <w:szCs w:val="28"/>
        </w:rPr>
        <w:t>.社会保障和就业支出（类）行政事业单位养老支出（款）机关事业单位职业年金缴费支出（项）：反映机关事业单位实施养老保险制度由单位实际缴纳的职业年金支出。</w:t>
      </w:r>
    </w:p>
    <w:p w:rsidR="009961B2" w:rsidRDefault="009961B2" w:rsidP="009961B2">
      <w:pPr>
        <w:ind w:firstLineChars="200" w:firstLine="560"/>
        <w:rPr>
          <w:rFonts w:ascii="仿宋_GB2312" w:eastAsia="仿宋_GB2312"/>
          <w:sz w:val="28"/>
          <w:szCs w:val="28"/>
        </w:rPr>
      </w:pPr>
      <w:r>
        <w:rPr>
          <w:rFonts w:ascii="仿宋_GB2312" w:eastAsia="仿宋_GB2312" w:hint="eastAsia"/>
          <w:sz w:val="28"/>
          <w:szCs w:val="28"/>
        </w:rPr>
        <w:t>1</w:t>
      </w:r>
      <w:r w:rsidR="00014E45">
        <w:rPr>
          <w:rFonts w:ascii="仿宋_GB2312" w:eastAsia="仿宋_GB2312" w:hint="eastAsia"/>
          <w:sz w:val="28"/>
          <w:szCs w:val="28"/>
        </w:rPr>
        <w:t>1</w:t>
      </w:r>
      <w:r>
        <w:rPr>
          <w:rFonts w:ascii="仿宋_GB2312" w:eastAsia="仿宋_GB2312" w:hint="eastAsia"/>
          <w:sz w:val="28"/>
          <w:szCs w:val="28"/>
        </w:rPr>
        <w:t>.卫生健康支出（类）行政事业单位医疗（款）事业单位医疗（项）：反映财政部门安排的事业单位基本医疗保险缴费经费，未参加医疗保险的事业单位的公费医疗经费，按国家规定享受离休人员待遇人员的医疗经费。</w:t>
      </w:r>
    </w:p>
    <w:p w:rsidR="00C9454E" w:rsidRDefault="009961B2" w:rsidP="00014E45">
      <w:pPr>
        <w:ind w:firstLineChars="200" w:firstLine="560"/>
        <w:rPr>
          <w:rFonts w:ascii="黑体" w:eastAsia="黑体"/>
          <w:sz w:val="32"/>
          <w:szCs w:val="32"/>
        </w:rPr>
      </w:pPr>
      <w:r>
        <w:rPr>
          <w:rFonts w:ascii="仿宋_GB2312" w:eastAsia="仿宋_GB2312" w:hint="eastAsia"/>
          <w:sz w:val="28"/>
          <w:szCs w:val="28"/>
        </w:rPr>
        <w:t>1</w:t>
      </w:r>
      <w:r w:rsidR="00014E45">
        <w:rPr>
          <w:rFonts w:ascii="仿宋_GB2312" w:eastAsia="仿宋_GB2312" w:hint="eastAsia"/>
          <w:sz w:val="28"/>
          <w:szCs w:val="28"/>
        </w:rPr>
        <w:t>2</w:t>
      </w:r>
      <w:r>
        <w:rPr>
          <w:rFonts w:ascii="仿宋_GB2312" w:eastAsia="仿宋_GB2312" w:hint="eastAsia"/>
          <w:sz w:val="28"/>
          <w:szCs w:val="28"/>
        </w:rPr>
        <w:t>.卫生健康支出（类）行政事业单位医疗（款）公务员医疗补助（项）：反映财政部门安排的公务员医疗补助经费。</w:t>
      </w:r>
    </w:p>
    <w:p w:rsidR="00C9454E" w:rsidRDefault="00C9454E" w:rsidP="00D4205F">
      <w:pPr>
        <w:rPr>
          <w:rFonts w:ascii="黑体" w:eastAsia="黑体"/>
          <w:sz w:val="32"/>
          <w:szCs w:val="32"/>
        </w:rPr>
      </w:pPr>
    </w:p>
    <w:p w:rsidR="00C9454E" w:rsidRPr="00D4205F" w:rsidRDefault="003043F0" w:rsidP="00D4205F">
      <w:pPr>
        <w:ind w:firstLineChars="200" w:firstLine="640"/>
        <w:jc w:val="center"/>
        <w:rPr>
          <w:rFonts w:ascii="黑体" w:eastAsia="黑体"/>
          <w:sz w:val="32"/>
          <w:szCs w:val="32"/>
        </w:rPr>
      </w:pPr>
      <w:r>
        <w:rPr>
          <w:rFonts w:ascii="黑体" w:eastAsia="黑体" w:hint="eastAsia"/>
          <w:sz w:val="32"/>
          <w:szCs w:val="32"/>
        </w:rPr>
        <w:t>第四部分  2024年度</w:t>
      </w:r>
      <w:r w:rsidR="00B00CFA">
        <w:rPr>
          <w:rFonts w:ascii="黑体" w:eastAsia="黑体" w:hint="eastAsia"/>
          <w:sz w:val="32"/>
          <w:szCs w:val="32"/>
        </w:rPr>
        <w:t>单位</w:t>
      </w:r>
      <w:r>
        <w:rPr>
          <w:rFonts w:ascii="黑体" w:eastAsia="黑体" w:hint="eastAsia"/>
          <w:sz w:val="32"/>
          <w:szCs w:val="32"/>
        </w:rPr>
        <w:t>绩效评价情况</w:t>
      </w:r>
    </w:p>
    <w:p w:rsidR="00C9454E" w:rsidRDefault="003043F0">
      <w:pPr>
        <w:numPr>
          <w:ilvl w:val="0"/>
          <w:numId w:val="1"/>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p>
    <w:tbl>
      <w:tblPr>
        <w:tblW w:w="14540" w:type="dxa"/>
        <w:tblInd w:w="93" w:type="dxa"/>
        <w:tblLook w:val="04A0" w:firstRow="1" w:lastRow="0" w:firstColumn="1" w:lastColumn="0" w:noHBand="0" w:noVBand="1"/>
      </w:tblPr>
      <w:tblGrid>
        <w:gridCol w:w="14540"/>
      </w:tblGrid>
      <w:tr w:rsidR="00D4205F" w:rsidTr="00D12142">
        <w:trPr>
          <w:trHeight w:val="405"/>
        </w:trPr>
        <w:tc>
          <w:tcPr>
            <w:tcW w:w="14540" w:type="dxa"/>
            <w:tcBorders>
              <w:top w:val="nil"/>
              <w:left w:val="nil"/>
              <w:bottom w:val="nil"/>
              <w:right w:val="nil"/>
            </w:tcBorders>
            <w:shd w:val="clear" w:color="auto" w:fill="auto"/>
            <w:vAlign w:val="center"/>
          </w:tcPr>
          <w:p w:rsidR="00D4205F" w:rsidRDefault="00D4205F" w:rsidP="00D4205F">
            <w:pPr>
              <w:widowControl/>
              <w:jc w:val="center"/>
              <w:rPr>
                <w:rFonts w:ascii="宋体" w:hAnsi="宋体" w:cs="宋体"/>
                <w:b/>
                <w:bCs/>
                <w:color w:val="000000"/>
                <w:kern w:val="0"/>
                <w:sz w:val="32"/>
                <w:szCs w:val="32"/>
              </w:rPr>
            </w:pPr>
            <w:bookmarkStart w:id="13" w:name="_Hlk207963477"/>
            <w:r>
              <w:rPr>
                <w:rFonts w:ascii="宋体" w:hAnsi="宋体" w:cs="宋体" w:hint="eastAsia"/>
                <w:b/>
                <w:bCs/>
                <w:color w:val="000000"/>
                <w:kern w:val="0"/>
                <w:sz w:val="32"/>
                <w:szCs w:val="32"/>
              </w:rPr>
              <w:t>项目支出绩效自评表</w:t>
            </w:r>
          </w:p>
        </w:tc>
      </w:tr>
      <w:tr w:rsidR="00D4205F" w:rsidTr="00D12142">
        <w:trPr>
          <w:trHeight w:val="435"/>
        </w:trPr>
        <w:tc>
          <w:tcPr>
            <w:tcW w:w="14540" w:type="dxa"/>
            <w:tcBorders>
              <w:top w:val="nil"/>
              <w:left w:val="nil"/>
              <w:bottom w:val="nil"/>
              <w:right w:val="nil"/>
            </w:tcBorders>
            <w:shd w:val="clear" w:color="auto" w:fill="auto"/>
            <w:vAlign w:val="center"/>
          </w:tcPr>
          <w:p w:rsidR="00D4205F" w:rsidRDefault="00D4205F" w:rsidP="00D4205F">
            <w:pPr>
              <w:widowControl/>
              <w:jc w:val="center"/>
              <w:rPr>
                <w:rFonts w:ascii="宋体" w:hAnsi="宋体" w:cs="宋体"/>
                <w:color w:val="000000"/>
                <w:kern w:val="0"/>
                <w:sz w:val="22"/>
                <w:szCs w:val="22"/>
              </w:rPr>
            </w:pPr>
            <w:r>
              <w:rPr>
                <w:rFonts w:ascii="宋体" w:hAnsi="宋体" w:cs="宋体" w:hint="eastAsia"/>
                <w:color w:val="000000"/>
                <w:kern w:val="0"/>
                <w:sz w:val="22"/>
                <w:szCs w:val="22"/>
              </w:rPr>
              <w:t>（2024年度）</w:t>
            </w:r>
          </w:p>
        </w:tc>
      </w:tr>
      <w:bookmarkEnd w:id="13"/>
    </w:tbl>
    <w:p w:rsidR="00C9454E" w:rsidRDefault="00C9454E">
      <w:pPr>
        <w:spacing w:line="480" w:lineRule="exact"/>
        <w:rPr>
          <w:rFonts w:ascii="仿宋_GB2312" w:eastAsia="仿宋_GB2312" w:hAnsi="仿宋_GB2312" w:cs="仿宋_GB2312"/>
          <w:sz w:val="32"/>
          <w:szCs w:val="32"/>
        </w:rPr>
      </w:pPr>
    </w:p>
    <w:tbl>
      <w:tblPr>
        <w:tblW w:w="14190" w:type="dxa"/>
        <w:tblInd w:w="93" w:type="dxa"/>
        <w:tblLook w:val="04A0" w:firstRow="1" w:lastRow="0" w:firstColumn="1" w:lastColumn="0" w:noHBand="0" w:noVBand="1"/>
      </w:tblPr>
      <w:tblGrid>
        <w:gridCol w:w="560"/>
        <w:gridCol w:w="2780"/>
        <w:gridCol w:w="2260"/>
        <w:gridCol w:w="1300"/>
        <w:gridCol w:w="1500"/>
        <w:gridCol w:w="1380"/>
        <w:gridCol w:w="1160"/>
        <w:gridCol w:w="1240"/>
        <w:gridCol w:w="2010"/>
      </w:tblGrid>
      <w:tr w:rsidR="00D4205F" w:rsidRPr="00D4205F" w:rsidTr="00D4205F">
        <w:trPr>
          <w:trHeight w:val="402"/>
        </w:trPr>
        <w:tc>
          <w:tcPr>
            <w:tcW w:w="33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kern w:val="0"/>
                <w:sz w:val="20"/>
                <w:szCs w:val="20"/>
              </w:rPr>
            </w:pPr>
            <w:r w:rsidRPr="00D4205F">
              <w:rPr>
                <w:rFonts w:ascii="宋体" w:hAnsi="宋体" w:cs="宋体" w:hint="eastAsia"/>
                <w:kern w:val="0"/>
                <w:sz w:val="20"/>
                <w:szCs w:val="20"/>
              </w:rPr>
              <w:t>项目名称</w:t>
            </w:r>
          </w:p>
        </w:tc>
        <w:tc>
          <w:tcPr>
            <w:tcW w:w="10850" w:type="dxa"/>
            <w:gridSpan w:val="7"/>
            <w:tcBorders>
              <w:top w:val="single" w:sz="4" w:space="0" w:color="auto"/>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原办公场所维护经费</w:t>
            </w:r>
          </w:p>
        </w:tc>
      </w:tr>
      <w:tr w:rsidR="00D4205F" w:rsidRPr="00D4205F" w:rsidTr="00D4205F">
        <w:trPr>
          <w:trHeight w:val="402"/>
        </w:trPr>
        <w:tc>
          <w:tcPr>
            <w:tcW w:w="33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主管部门</w:t>
            </w:r>
          </w:p>
        </w:tc>
        <w:tc>
          <w:tcPr>
            <w:tcW w:w="5060" w:type="dxa"/>
            <w:gridSpan w:val="3"/>
            <w:tcBorders>
              <w:top w:val="single" w:sz="4" w:space="0" w:color="auto"/>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北京市药品监督管理局066</w:t>
            </w:r>
          </w:p>
        </w:tc>
        <w:tc>
          <w:tcPr>
            <w:tcW w:w="1380" w:type="dxa"/>
            <w:tcBorders>
              <w:top w:val="nil"/>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实施单位</w:t>
            </w:r>
          </w:p>
        </w:tc>
        <w:tc>
          <w:tcPr>
            <w:tcW w:w="4410" w:type="dxa"/>
            <w:gridSpan w:val="3"/>
            <w:tcBorders>
              <w:top w:val="single" w:sz="4" w:space="0" w:color="auto"/>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北京市药品监督管理局综合事务中心</w:t>
            </w:r>
          </w:p>
        </w:tc>
      </w:tr>
      <w:tr w:rsidR="00D4205F" w:rsidRPr="00D4205F" w:rsidTr="00D4205F">
        <w:trPr>
          <w:trHeight w:val="600"/>
        </w:trPr>
        <w:tc>
          <w:tcPr>
            <w:tcW w:w="33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项目资金（万元）</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 xml:space="preserve">　</w:t>
            </w:r>
          </w:p>
        </w:tc>
        <w:tc>
          <w:tcPr>
            <w:tcW w:w="1300" w:type="dxa"/>
            <w:tcBorders>
              <w:top w:val="nil"/>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年初预算数</w:t>
            </w:r>
          </w:p>
        </w:tc>
        <w:tc>
          <w:tcPr>
            <w:tcW w:w="1500" w:type="dxa"/>
            <w:tcBorders>
              <w:top w:val="nil"/>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全年预算数</w:t>
            </w:r>
          </w:p>
        </w:tc>
        <w:tc>
          <w:tcPr>
            <w:tcW w:w="1380" w:type="dxa"/>
            <w:tcBorders>
              <w:top w:val="nil"/>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全年执行数</w:t>
            </w:r>
          </w:p>
        </w:tc>
        <w:tc>
          <w:tcPr>
            <w:tcW w:w="1160" w:type="dxa"/>
            <w:tcBorders>
              <w:top w:val="nil"/>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分值</w:t>
            </w:r>
          </w:p>
        </w:tc>
        <w:tc>
          <w:tcPr>
            <w:tcW w:w="1240" w:type="dxa"/>
            <w:tcBorders>
              <w:top w:val="nil"/>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执行率</w:t>
            </w:r>
          </w:p>
        </w:tc>
        <w:tc>
          <w:tcPr>
            <w:tcW w:w="2010" w:type="dxa"/>
            <w:tcBorders>
              <w:top w:val="nil"/>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得分</w:t>
            </w:r>
          </w:p>
        </w:tc>
      </w:tr>
      <w:tr w:rsidR="00D4205F" w:rsidRPr="00D4205F" w:rsidTr="00D4205F">
        <w:trPr>
          <w:trHeight w:val="402"/>
        </w:trPr>
        <w:tc>
          <w:tcPr>
            <w:tcW w:w="3340" w:type="dxa"/>
            <w:gridSpan w:val="2"/>
            <w:vMerge/>
            <w:tcBorders>
              <w:top w:val="single" w:sz="4" w:space="0" w:color="auto"/>
              <w:left w:val="single" w:sz="4" w:space="0" w:color="auto"/>
              <w:bottom w:val="single" w:sz="4" w:space="0" w:color="auto"/>
              <w:right w:val="single" w:sz="4" w:space="0" w:color="auto"/>
            </w:tcBorders>
            <w:vAlign w:val="center"/>
            <w:hideMark/>
          </w:tcPr>
          <w:p w:rsidR="00D4205F" w:rsidRPr="00D4205F" w:rsidRDefault="00D4205F" w:rsidP="00D4205F">
            <w:pPr>
              <w:widowControl/>
              <w:jc w:val="left"/>
              <w:rPr>
                <w:rFonts w:ascii="宋体" w:hAnsi="宋体" w:cs="宋体"/>
                <w:color w:val="000000"/>
                <w:kern w:val="0"/>
                <w:sz w:val="20"/>
                <w:szCs w:val="20"/>
              </w:rPr>
            </w:pP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left"/>
              <w:rPr>
                <w:rFonts w:ascii="宋体" w:hAnsi="宋体" w:cs="宋体"/>
                <w:color w:val="000000"/>
                <w:kern w:val="0"/>
                <w:sz w:val="20"/>
                <w:szCs w:val="20"/>
              </w:rPr>
            </w:pPr>
            <w:r w:rsidRPr="00D4205F">
              <w:rPr>
                <w:rFonts w:ascii="宋体" w:hAnsi="宋体" w:cs="宋体" w:hint="eastAsia"/>
                <w:color w:val="000000"/>
                <w:kern w:val="0"/>
                <w:sz w:val="20"/>
                <w:szCs w:val="20"/>
              </w:rPr>
              <w:t>年度资金总额：</w:t>
            </w:r>
          </w:p>
        </w:tc>
        <w:tc>
          <w:tcPr>
            <w:tcW w:w="1300" w:type="dxa"/>
            <w:tcBorders>
              <w:top w:val="nil"/>
              <w:left w:val="nil"/>
              <w:bottom w:val="single" w:sz="4" w:space="0" w:color="auto"/>
              <w:right w:val="single" w:sz="4" w:space="0" w:color="auto"/>
            </w:tcBorders>
            <w:shd w:val="clear" w:color="000000" w:fill="FFFFFF"/>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297.2</w:t>
            </w:r>
            <w:r>
              <w:rPr>
                <w:rFonts w:ascii="宋体" w:hAnsi="宋体" w:cs="宋体" w:hint="eastAsia"/>
                <w:color w:val="000000"/>
                <w:kern w:val="0"/>
                <w:sz w:val="20"/>
                <w:szCs w:val="20"/>
              </w:rPr>
              <w:t>9</w:t>
            </w:r>
            <w:r w:rsidRPr="00D4205F">
              <w:rPr>
                <w:rFonts w:ascii="宋体" w:hAnsi="宋体" w:cs="宋体" w:hint="eastAsia"/>
                <w:color w:val="000000"/>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297.2</w:t>
            </w:r>
            <w:r>
              <w:rPr>
                <w:rFonts w:ascii="宋体" w:hAnsi="宋体" w:cs="宋体" w:hint="eastAsia"/>
                <w:color w:val="000000"/>
                <w:kern w:val="0"/>
                <w:sz w:val="20"/>
                <w:szCs w:val="20"/>
              </w:rPr>
              <w:t>9</w:t>
            </w:r>
          </w:p>
        </w:tc>
        <w:tc>
          <w:tcPr>
            <w:tcW w:w="1380" w:type="dxa"/>
            <w:tcBorders>
              <w:top w:val="nil"/>
              <w:left w:val="nil"/>
              <w:bottom w:val="single" w:sz="4" w:space="0" w:color="auto"/>
              <w:right w:val="single" w:sz="4" w:space="0" w:color="auto"/>
            </w:tcBorders>
            <w:shd w:val="clear" w:color="000000" w:fill="FFFFFF"/>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 xml:space="preserve">195.88 </w:t>
            </w:r>
          </w:p>
        </w:tc>
        <w:tc>
          <w:tcPr>
            <w:tcW w:w="1160" w:type="dxa"/>
            <w:tcBorders>
              <w:top w:val="nil"/>
              <w:left w:val="nil"/>
              <w:bottom w:val="single" w:sz="4" w:space="0" w:color="auto"/>
              <w:right w:val="single" w:sz="4" w:space="0" w:color="auto"/>
            </w:tcBorders>
            <w:shd w:val="clear" w:color="000000" w:fill="FFFFFF"/>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 xml:space="preserve">10.00 </w:t>
            </w:r>
          </w:p>
        </w:tc>
        <w:tc>
          <w:tcPr>
            <w:tcW w:w="1240" w:type="dxa"/>
            <w:tcBorders>
              <w:top w:val="nil"/>
              <w:left w:val="nil"/>
              <w:bottom w:val="single" w:sz="4" w:space="0" w:color="auto"/>
              <w:right w:val="single" w:sz="4" w:space="0" w:color="auto"/>
            </w:tcBorders>
            <w:shd w:val="clear" w:color="000000" w:fill="FFFFFF"/>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65.89%</w:t>
            </w:r>
          </w:p>
        </w:tc>
        <w:tc>
          <w:tcPr>
            <w:tcW w:w="2010" w:type="dxa"/>
            <w:tcBorders>
              <w:top w:val="nil"/>
              <w:left w:val="nil"/>
              <w:bottom w:val="single" w:sz="4" w:space="0" w:color="auto"/>
              <w:right w:val="single" w:sz="4" w:space="0" w:color="auto"/>
            </w:tcBorders>
            <w:shd w:val="clear" w:color="000000" w:fill="FFFFFF"/>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 xml:space="preserve">6.59 </w:t>
            </w:r>
          </w:p>
        </w:tc>
      </w:tr>
      <w:tr w:rsidR="00D4205F" w:rsidRPr="00D4205F" w:rsidTr="00D4205F">
        <w:trPr>
          <w:trHeight w:val="402"/>
        </w:trPr>
        <w:tc>
          <w:tcPr>
            <w:tcW w:w="3340" w:type="dxa"/>
            <w:gridSpan w:val="2"/>
            <w:vMerge/>
            <w:tcBorders>
              <w:top w:val="single" w:sz="4" w:space="0" w:color="auto"/>
              <w:left w:val="single" w:sz="4" w:space="0" w:color="auto"/>
              <w:bottom w:val="single" w:sz="4" w:space="0" w:color="auto"/>
              <w:right w:val="single" w:sz="4" w:space="0" w:color="auto"/>
            </w:tcBorders>
            <w:vAlign w:val="center"/>
            <w:hideMark/>
          </w:tcPr>
          <w:p w:rsidR="00D4205F" w:rsidRPr="00D4205F" w:rsidRDefault="00D4205F" w:rsidP="00D4205F">
            <w:pPr>
              <w:widowControl/>
              <w:jc w:val="left"/>
              <w:rPr>
                <w:rFonts w:ascii="宋体" w:hAnsi="宋体" w:cs="宋体"/>
                <w:color w:val="000000"/>
                <w:kern w:val="0"/>
                <w:sz w:val="20"/>
                <w:szCs w:val="20"/>
              </w:rPr>
            </w:pP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其中：当年财政拨款</w:t>
            </w:r>
          </w:p>
        </w:tc>
        <w:tc>
          <w:tcPr>
            <w:tcW w:w="1300" w:type="dxa"/>
            <w:tcBorders>
              <w:top w:val="nil"/>
              <w:left w:val="nil"/>
              <w:bottom w:val="single" w:sz="4" w:space="0" w:color="auto"/>
              <w:right w:val="single" w:sz="4" w:space="0" w:color="auto"/>
            </w:tcBorders>
            <w:shd w:val="clear" w:color="000000" w:fill="FFFFFF"/>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 xml:space="preserve">　</w:t>
            </w:r>
          </w:p>
        </w:tc>
        <w:tc>
          <w:tcPr>
            <w:tcW w:w="1380" w:type="dxa"/>
            <w:tcBorders>
              <w:top w:val="nil"/>
              <w:left w:val="nil"/>
              <w:bottom w:val="single" w:sz="4" w:space="0" w:color="auto"/>
              <w:right w:val="single" w:sz="4" w:space="0" w:color="auto"/>
            </w:tcBorders>
            <w:shd w:val="clear" w:color="000000" w:fill="FFFFFF"/>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 xml:space="preserve">　</w:t>
            </w:r>
          </w:p>
        </w:tc>
        <w:tc>
          <w:tcPr>
            <w:tcW w:w="1160" w:type="dxa"/>
            <w:tcBorders>
              <w:top w:val="nil"/>
              <w:left w:val="nil"/>
              <w:bottom w:val="single" w:sz="4" w:space="0" w:color="auto"/>
              <w:right w:val="single" w:sz="4" w:space="0" w:color="auto"/>
            </w:tcBorders>
            <w:shd w:val="clear" w:color="000000" w:fill="FFFFFF"/>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w:t>
            </w:r>
          </w:p>
        </w:tc>
        <w:tc>
          <w:tcPr>
            <w:tcW w:w="1240" w:type="dxa"/>
            <w:tcBorders>
              <w:top w:val="nil"/>
              <w:left w:val="nil"/>
              <w:bottom w:val="single" w:sz="4" w:space="0" w:color="auto"/>
              <w:right w:val="single" w:sz="4" w:space="0" w:color="auto"/>
            </w:tcBorders>
            <w:shd w:val="clear" w:color="000000" w:fill="FFFFFF"/>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 xml:space="preserve">　</w:t>
            </w:r>
          </w:p>
        </w:tc>
        <w:tc>
          <w:tcPr>
            <w:tcW w:w="2010" w:type="dxa"/>
            <w:tcBorders>
              <w:top w:val="nil"/>
              <w:left w:val="nil"/>
              <w:bottom w:val="single" w:sz="4" w:space="0" w:color="auto"/>
              <w:right w:val="single" w:sz="4" w:space="0" w:color="auto"/>
            </w:tcBorders>
            <w:shd w:val="clear" w:color="000000" w:fill="FFFFFF"/>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 xml:space="preserve">　</w:t>
            </w:r>
          </w:p>
        </w:tc>
      </w:tr>
      <w:tr w:rsidR="00D4205F" w:rsidRPr="00D4205F" w:rsidTr="00D4205F">
        <w:trPr>
          <w:trHeight w:val="402"/>
        </w:trPr>
        <w:tc>
          <w:tcPr>
            <w:tcW w:w="3340" w:type="dxa"/>
            <w:gridSpan w:val="2"/>
            <w:vMerge/>
            <w:tcBorders>
              <w:top w:val="single" w:sz="4" w:space="0" w:color="auto"/>
              <w:left w:val="single" w:sz="4" w:space="0" w:color="auto"/>
              <w:bottom w:val="single" w:sz="4" w:space="0" w:color="auto"/>
              <w:right w:val="single" w:sz="4" w:space="0" w:color="auto"/>
            </w:tcBorders>
            <w:vAlign w:val="center"/>
            <w:hideMark/>
          </w:tcPr>
          <w:p w:rsidR="00D4205F" w:rsidRPr="00D4205F" w:rsidRDefault="00D4205F" w:rsidP="00D4205F">
            <w:pPr>
              <w:widowControl/>
              <w:jc w:val="left"/>
              <w:rPr>
                <w:rFonts w:ascii="宋体" w:hAnsi="宋体" w:cs="宋体"/>
                <w:color w:val="000000"/>
                <w:kern w:val="0"/>
                <w:sz w:val="20"/>
                <w:szCs w:val="20"/>
              </w:rPr>
            </w:pP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 xml:space="preserve">     上年结转资金</w:t>
            </w:r>
          </w:p>
        </w:tc>
        <w:tc>
          <w:tcPr>
            <w:tcW w:w="1300" w:type="dxa"/>
            <w:tcBorders>
              <w:top w:val="nil"/>
              <w:left w:val="nil"/>
              <w:bottom w:val="single" w:sz="4" w:space="0" w:color="auto"/>
              <w:right w:val="single" w:sz="4" w:space="0" w:color="auto"/>
            </w:tcBorders>
            <w:shd w:val="clear" w:color="000000" w:fill="FFFFFF"/>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 xml:space="preserve">　</w:t>
            </w:r>
          </w:p>
        </w:tc>
        <w:tc>
          <w:tcPr>
            <w:tcW w:w="1380" w:type="dxa"/>
            <w:tcBorders>
              <w:top w:val="nil"/>
              <w:left w:val="nil"/>
              <w:bottom w:val="single" w:sz="4" w:space="0" w:color="auto"/>
              <w:right w:val="single" w:sz="4" w:space="0" w:color="auto"/>
            </w:tcBorders>
            <w:shd w:val="clear" w:color="000000" w:fill="FFFFFF"/>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 xml:space="preserve">　</w:t>
            </w:r>
          </w:p>
        </w:tc>
        <w:tc>
          <w:tcPr>
            <w:tcW w:w="1160" w:type="dxa"/>
            <w:tcBorders>
              <w:top w:val="nil"/>
              <w:left w:val="nil"/>
              <w:bottom w:val="single" w:sz="4" w:space="0" w:color="auto"/>
              <w:right w:val="single" w:sz="4" w:space="0" w:color="auto"/>
            </w:tcBorders>
            <w:shd w:val="clear" w:color="000000" w:fill="FFFFFF"/>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w:t>
            </w:r>
          </w:p>
        </w:tc>
        <w:tc>
          <w:tcPr>
            <w:tcW w:w="1240" w:type="dxa"/>
            <w:tcBorders>
              <w:top w:val="nil"/>
              <w:left w:val="nil"/>
              <w:bottom w:val="single" w:sz="4" w:space="0" w:color="auto"/>
              <w:right w:val="single" w:sz="4" w:space="0" w:color="auto"/>
            </w:tcBorders>
            <w:shd w:val="clear" w:color="000000" w:fill="FFFFFF"/>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 xml:space="preserve">　</w:t>
            </w:r>
          </w:p>
        </w:tc>
        <w:tc>
          <w:tcPr>
            <w:tcW w:w="2010" w:type="dxa"/>
            <w:tcBorders>
              <w:top w:val="nil"/>
              <w:left w:val="nil"/>
              <w:bottom w:val="single" w:sz="4" w:space="0" w:color="auto"/>
              <w:right w:val="single" w:sz="4" w:space="0" w:color="auto"/>
            </w:tcBorders>
            <w:shd w:val="clear" w:color="000000" w:fill="FFFFFF"/>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 xml:space="preserve">　</w:t>
            </w:r>
          </w:p>
        </w:tc>
      </w:tr>
      <w:tr w:rsidR="00D4205F" w:rsidRPr="00D4205F" w:rsidTr="00D4205F">
        <w:trPr>
          <w:trHeight w:val="402"/>
        </w:trPr>
        <w:tc>
          <w:tcPr>
            <w:tcW w:w="3340" w:type="dxa"/>
            <w:gridSpan w:val="2"/>
            <w:vMerge/>
            <w:tcBorders>
              <w:top w:val="single" w:sz="4" w:space="0" w:color="auto"/>
              <w:left w:val="single" w:sz="4" w:space="0" w:color="auto"/>
              <w:bottom w:val="single" w:sz="4" w:space="0" w:color="auto"/>
              <w:right w:val="single" w:sz="4" w:space="0" w:color="auto"/>
            </w:tcBorders>
            <w:vAlign w:val="center"/>
            <w:hideMark/>
          </w:tcPr>
          <w:p w:rsidR="00D4205F" w:rsidRPr="00D4205F" w:rsidRDefault="00D4205F" w:rsidP="00D4205F">
            <w:pPr>
              <w:widowControl/>
              <w:jc w:val="left"/>
              <w:rPr>
                <w:rFonts w:ascii="宋体" w:hAnsi="宋体" w:cs="宋体"/>
                <w:color w:val="000000"/>
                <w:kern w:val="0"/>
                <w:sz w:val="20"/>
                <w:szCs w:val="20"/>
              </w:rPr>
            </w:pP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left"/>
              <w:rPr>
                <w:rFonts w:ascii="宋体" w:hAnsi="宋体" w:cs="宋体"/>
                <w:color w:val="000000"/>
                <w:kern w:val="0"/>
                <w:sz w:val="20"/>
                <w:szCs w:val="20"/>
              </w:rPr>
            </w:pPr>
            <w:r w:rsidRPr="00D4205F">
              <w:rPr>
                <w:rFonts w:ascii="宋体" w:hAnsi="宋体" w:cs="宋体" w:hint="eastAsia"/>
                <w:color w:val="000000"/>
                <w:kern w:val="0"/>
                <w:sz w:val="20"/>
                <w:szCs w:val="20"/>
              </w:rPr>
              <w:t xml:space="preserve">          其他资金</w:t>
            </w:r>
          </w:p>
        </w:tc>
        <w:tc>
          <w:tcPr>
            <w:tcW w:w="1300" w:type="dxa"/>
            <w:tcBorders>
              <w:top w:val="nil"/>
              <w:left w:val="nil"/>
              <w:bottom w:val="single" w:sz="4" w:space="0" w:color="auto"/>
              <w:right w:val="single" w:sz="4" w:space="0" w:color="auto"/>
            </w:tcBorders>
            <w:shd w:val="clear" w:color="000000" w:fill="FFFFFF"/>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297.2</w:t>
            </w:r>
            <w:r>
              <w:rPr>
                <w:rFonts w:ascii="宋体" w:hAnsi="宋体" w:cs="宋体" w:hint="eastAsia"/>
                <w:color w:val="000000"/>
                <w:kern w:val="0"/>
                <w:sz w:val="20"/>
                <w:szCs w:val="20"/>
              </w:rPr>
              <w:t>9</w:t>
            </w:r>
            <w:r w:rsidRPr="00D4205F">
              <w:rPr>
                <w:rFonts w:ascii="宋体" w:hAnsi="宋体" w:cs="宋体" w:hint="eastAsia"/>
                <w:color w:val="000000"/>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297.2</w:t>
            </w:r>
            <w:r>
              <w:rPr>
                <w:rFonts w:ascii="宋体" w:hAnsi="宋体" w:cs="宋体" w:hint="eastAsia"/>
                <w:color w:val="000000"/>
                <w:kern w:val="0"/>
                <w:sz w:val="20"/>
                <w:szCs w:val="20"/>
              </w:rPr>
              <w:t>9</w:t>
            </w:r>
            <w:r w:rsidRPr="00D4205F">
              <w:rPr>
                <w:rFonts w:ascii="宋体" w:hAnsi="宋体" w:cs="宋体" w:hint="eastAsia"/>
                <w:color w:val="000000"/>
                <w:kern w:val="0"/>
                <w:sz w:val="20"/>
                <w:szCs w:val="20"/>
              </w:rPr>
              <w:t xml:space="preserve"> </w:t>
            </w:r>
          </w:p>
        </w:tc>
        <w:tc>
          <w:tcPr>
            <w:tcW w:w="1380" w:type="dxa"/>
            <w:tcBorders>
              <w:top w:val="nil"/>
              <w:left w:val="nil"/>
              <w:bottom w:val="single" w:sz="4" w:space="0" w:color="auto"/>
              <w:right w:val="single" w:sz="4" w:space="0" w:color="auto"/>
            </w:tcBorders>
            <w:shd w:val="clear" w:color="000000" w:fill="FFFFFF"/>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 xml:space="preserve">195.88 </w:t>
            </w:r>
          </w:p>
        </w:tc>
        <w:tc>
          <w:tcPr>
            <w:tcW w:w="1160" w:type="dxa"/>
            <w:tcBorders>
              <w:top w:val="nil"/>
              <w:left w:val="nil"/>
              <w:bottom w:val="single" w:sz="4" w:space="0" w:color="auto"/>
              <w:right w:val="single" w:sz="4" w:space="0" w:color="auto"/>
            </w:tcBorders>
            <w:shd w:val="clear" w:color="000000" w:fill="FFFFFF"/>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w:t>
            </w:r>
          </w:p>
        </w:tc>
        <w:tc>
          <w:tcPr>
            <w:tcW w:w="1240" w:type="dxa"/>
            <w:tcBorders>
              <w:top w:val="nil"/>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 xml:space="preserve">　</w:t>
            </w:r>
          </w:p>
        </w:tc>
        <w:tc>
          <w:tcPr>
            <w:tcW w:w="2010" w:type="dxa"/>
            <w:tcBorders>
              <w:top w:val="nil"/>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 xml:space="preserve">　</w:t>
            </w:r>
          </w:p>
        </w:tc>
      </w:tr>
      <w:tr w:rsidR="00D4205F" w:rsidRPr="00D4205F" w:rsidTr="00D4205F">
        <w:trPr>
          <w:trHeight w:val="435"/>
        </w:trPr>
        <w:tc>
          <w:tcPr>
            <w:tcW w:w="560" w:type="dxa"/>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年度总体目标</w:t>
            </w:r>
          </w:p>
        </w:tc>
        <w:tc>
          <w:tcPr>
            <w:tcW w:w="7840" w:type="dxa"/>
            <w:gridSpan w:val="4"/>
            <w:tcBorders>
              <w:top w:val="single" w:sz="4" w:space="0" w:color="auto"/>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预期目标</w:t>
            </w:r>
          </w:p>
        </w:tc>
        <w:tc>
          <w:tcPr>
            <w:tcW w:w="5790" w:type="dxa"/>
            <w:gridSpan w:val="4"/>
            <w:tcBorders>
              <w:top w:val="single" w:sz="4" w:space="0" w:color="auto"/>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实际完成情况</w:t>
            </w:r>
          </w:p>
        </w:tc>
      </w:tr>
      <w:tr w:rsidR="00D4205F" w:rsidRPr="00D4205F" w:rsidTr="00D4205F">
        <w:trPr>
          <w:trHeight w:val="1740"/>
        </w:trPr>
        <w:tc>
          <w:tcPr>
            <w:tcW w:w="560" w:type="dxa"/>
            <w:vMerge/>
            <w:tcBorders>
              <w:top w:val="nil"/>
              <w:left w:val="single" w:sz="4" w:space="0" w:color="auto"/>
              <w:bottom w:val="single" w:sz="4" w:space="0" w:color="auto"/>
              <w:right w:val="single" w:sz="4" w:space="0" w:color="auto"/>
            </w:tcBorders>
            <w:vAlign w:val="center"/>
            <w:hideMark/>
          </w:tcPr>
          <w:p w:rsidR="00D4205F" w:rsidRPr="00D4205F" w:rsidRDefault="00D4205F" w:rsidP="00D4205F">
            <w:pPr>
              <w:widowControl/>
              <w:jc w:val="left"/>
              <w:rPr>
                <w:rFonts w:ascii="宋体" w:hAnsi="宋体" w:cs="宋体"/>
                <w:color w:val="000000"/>
                <w:kern w:val="0"/>
                <w:sz w:val="20"/>
                <w:szCs w:val="20"/>
              </w:rPr>
            </w:pPr>
          </w:p>
        </w:tc>
        <w:tc>
          <w:tcPr>
            <w:tcW w:w="7840" w:type="dxa"/>
            <w:gridSpan w:val="4"/>
            <w:tcBorders>
              <w:top w:val="single" w:sz="4" w:space="0" w:color="auto"/>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根据市机管局搬迁工作要求，在二期搬迁单位搬迁后对原办公场所进行运行维护。</w:t>
            </w:r>
          </w:p>
        </w:tc>
        <w:tc>
          <w:tcPr>
            <w:tcW w:w="5790" w:type="dxa"/>
            <w:gridSpan w:val="4"/>
            <w:tcBorders>
              <w:top w:val="single" w:sz="4" w:space="0" w:color="auto"/>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基本完成对搬迁后原办公场所的维护、维修相关工作。</w:t>
            </w:r>
          </w:p>
        </w:tc>
      </w:tr>
    </w:tbl>
    <w:p w:rsidR="00D4205F" w:rsidRDefault="00D4205F" w:rsidP="00D4205F"/>
    <w:p w:rsidR="00D4205F" w:rsidRDefault="00D4205F" w:rsidP="00D4205F"/>
    <w:p w:rsidR="00D4205F" w:rsidRPr="00D4205F" w:rsidRDefault="00D4205F" w:rsidP="00D4205F"/>
    <w:p w:rsidR="00D4205F" w:rsidRPr="00D4205F" w:rsidRDefault="00D4205F" w:rsidP="00D4205F"/>
    <w:tbl>
      <w:tblPr>
        <w:tblW w:w="14190" w:type="dxa"/>
        <w:tblInd w:w="93" w:type="dxa"/>
        <w:tblLook w:val="04A0" w:firstRow="1" w:lastRow="0" w:firstColumn="1" w:lastColumn="0" w:noHBand="0" w:noVBand="1"/>
      </w:tblPr>
      <w:tblGrid>
        <w:gridCol w:w="560"/>
        <w:gridCol w:w="1240"/>
        <w:gridCol w:w="1540"/>
        <w:gridCol w:w="2260"/>
        <w:gridCol w:w="2800"/>
        <w:gridCol w:w="1538"/>
        <w:gridCol w:w="1134"/>
        <w:gridCol w:w="1108"/>
        <w:gridCol w:w="2010"/>
      </w:tblGrid>
      <w:tr w:rsidR="00D4205F" w:rsidRPr="00D4205F" w:rsidTr="00D4205F">
        <w:trPr>
          <w:trHeight w:val="810"/>
        </w:trPr>
        <w:tc>
          <w:tcPr>
            <w:tcW w:w="560" w:type="dxa"/>
            <w:vMerge w:val="restart"/>
            <w:tcBorders>
              <w:top w:val="single" w:sz="4" w:space="0" w:color="auto"/>
              <w:left w:val="single" w:sz="4" w:space="0" w:color="auto"/>
              <w:bottom w:val="single" w:sz="4" w:space="0" w:color="auto"/>
              <w:right w:val="single" w:sz="4" w:space="0" w:color="auto"/>
            </w:tcBorders>
            <w:shd w:val="clear" w:color="auto" w:fill="auto"/>
            <w:textDirection w:val="tbRlV"/>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绩效指标</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一级指标</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二级指标</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三级指标</w:t>
            </w:r>
          </w:p>
        </w:tc>
        <w:tc>
          <w:tcPr>
            <w:tcW w:w="2800" w:type="dxa"/>
            <w:tcBorders>
              <w:top w:val="single" w:sz="4" w:space="0" w:color="auto"/>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年度指标值</w:t>
            </w:r>
          </w:p>
        </w:tc>
        <w:tc>
          <w:tcPr>
            <w:tcW w:w="1538" w:type="dxa"/>
            <w:tcBorders>
              <w:top w:val="single" w:sz="4" w:space="0" w:color="auto"/>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实际完成值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分值</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得分</w:t>
            </w:r>
          </w:p>
        </w:tc>
        <w:tc>
          <w:tcPr>
            <w:tcW w:w="2010" w:type="dxa"/>
            <w:tcBorders>
              <w:top w:val="single" w:sz="4" w:space="0" w:color="auto"/>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偏差原因分析及改进措施</w:t>
            </w:r>
          </w:p>
        </w:tc>
      </w:tr>
      <w:tr w:rsidR="00D4205F" w:rsidRPr="00D4205F" w:rsidTr="00D4205F">
        <w:trPr>
          <w:trHeight w:val="600"/>
        </w:trPr>
        <w:tc>
          <w:tcPr>
            <w:tcW w:w="560" w:type="dxa"/>
            <w:vMerge/>
            <w:tcBorders>
              <w:top w:val="single" w:sz="4" w:space="0" w:color="auto"/>
              <w:left w:val="single" w:sz="4" w:space="0" w:color="auto"/>
              <w:bottom w:val="single" w:sz="4" w:space="0" w:color="auto"/>
              <w:right w:val="single" w:sz="4" w:space="0" w:color="auto"/>
            </w:tcBorders>
            <w:vAlign w:val="center"/>
            <w:hideMark/>
          </w:tcPr>
          <w:p w:rsidR="00D4205F" w:rsidRPr="00D4205F" w:rsidRDefault="00D4205F" w:rsidP="00D4205F">
            <w:pPr>
              <w:widowControl/>
              <w:jc w:val="left"/>
              <w:rPr>
                <w:rFonts w:ascii="宋体" w:hAnsi="宋体" w:cs="宋体"/>
                <w:color w:val="000000"/>
                <w:kern w:val="0"/>
                <w:sz w:val="20"/>
                <w:szCs w:val="20"/>
              </w:rPr>
            </w:pPr>
          </w:p>
        </w:tc>
        <w:tc>
          <w:tcPr>
            <w:tcW w:w="1240" w:type="dxa"/>
            <w:vMerge w:val="restart"/>
            <w:tcBorders>
              <w:top w:val="nil"/>
              <w:left w:val="single" w:sz="4" w:space="0" w:color="auto"/>
              <w:bottom w:val="nil"/>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产出指标</w:t>
            </w:r>
          </w:p>
        </w:tc>
        <w:tc>
          <w:tcPr>
            <w:tcW w:w="1540" w:type="dxa"/>
            <w:tcBorders>
              <w:top w:val="nil"/>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数量指标</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对原办公场所运维数量</w:t>
            </w:r>
          </w:p>
        </w:tc>
        <w:tc>
          <w:tcPr>
            <w:tcW w:w="2800" w:type="dxa"/>
            <w:tcBorders>
              <w:top w:val="single" w:sz="4" w:space="0" w:color="auto"/>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≥2个（台、套、件、辆）</w:t>
            </w:r>
          </w:p>
        </w:tc>
        <w:tc>
          <w:tcPr>
            <w:tcW w:w="1538" w:type="dxa"/>
            <w:tcBorders>
              <w:top w:val="nil"/>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2</w:t>
            </w:r>
          </w:p>
        </w:tc>
        <w:tc>
          <w:tcPr>
            <w:tcW w:w="1134" w:type="dxa"/>
            <w:tcBorders>
              <w:top w:val="nil"/>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20</w:t>
            </w:r>
          </w:p>
        </w:tc>
        <w:tc>
          <w:tcPr>
            <w:tcW w:w="1108" w:type="dxa"/>
            <w:tcBorders>
              <w:top w:val="nil"/>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20</w:t>
            </w:r>
          </w:p>
        </w:tc>
        <w:tc>
          <w:tcPr>
            <w:tcW w:w="2010" w:type="dxa"/>
            <w:tcBorders>
              <w:top w:val="nil"/>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left"/>
              <w:rPr>
                <w:rFonts w:ascii="宋体" w:hAnsi="宋体" w:cs="宋体"/>
                <w:kern w:val="0"/>
                <w:sz w:val="20"/>
                <w:szCs w:val="20"/>
              </w:rPr>
            </w:pPr>
            <w:r w:rsidRPr="00D4205F">
              <w:rPr>
                <w:rFonts w:ascii="宋体" w:hAnsi="宋体" w:cs="宋体" w:hint="eastAsia"/>
                <w:kern w:val="0"/>
                <w:sz w:val="20"/>
                <w:szCs w:val="20"/>
              </w:rPr>
              <w:t xml:space="preserve">　</w:t>
            </w:r>
          </w:p>
        </w:tc>
      </w:tr>
      <w:tr w:rsidR="00D4205F" w:rsidRPr="00D4205F" w:rsidTr="00D4205F">
        <w:trPr>
          <w:trHeight w:val="600"/>
        </w:trPr>
        <w:tc>
          <w:tcPr>
            <w:tcW w:w="560" w:type="dxa"/>
            <w:vMerge/>
            <w:tcBorders>
              <w:top w:val="single" w:sz="4" w:space="0" w:color="auto"/>
              <w:left w:val="single" w:sz="4" w:space="0" w:color="auto"/>
              <w:bottom w:val="single" w:sz="4" w:space="0" w:color="auto"/>
              <w:right w:val="single" w:sz="4" w:space="0" w:color="auto"/>
            </w:tcBorders>
            <w:vAlign w:val="center"/>
            <w:hideMark/>
          </w:tcPr>
          <w:p w:rsidR="00D4205F" w:rsidRPr="00D4205F" w:rsidRDefault="00D4205F" w:rsidP="00D4205F">
            <w:pPr>
              <w:widowControl/>
              <w:jc w:val="left"/>
              <w:rPr>
                <w:rFonts w:ascii="宋体" w:hAnsi="宋体" w:cs="宋体"/>
                <w:color w:val="000000"/>
                <w:kern w:val="0"/>
                <w:sz w:val="20"/>
                <w:szCs w:val="20"/>
              </w:rPr>
            </w:pPr>
          </w:p>
        </w:tc>
        <w:tc>
          <w:tcPr>
            <w:tcW w:w="1240" w:type="dxa"/>
            <w:vMerge/>
            <w:tcBorders>
              <w:top w:val="nil"/>
              <w:left w:val="single" w:sz="4" w:space="0" w:color="auto"/>
              <w:bottom w:val="nil"/>
              <w:right w:val="single" w:sz="4" w:space="0" w:color="auto"/>
            </w:tcBorders>
            <w:vAlign w:val="center"/>
            <w:hideMark/>
          </w:tcPr>
          <w:p w:rsidR="00D4205F" w:rsidRPr="00D4205F" w:rsidRDefault="00D4205F" w:rsidP="00D4205F">
            <w:pPr>
              <w:widowControl/>
              <w:jc w:val="left"/>
              <w:rPr>
                <w:rFonts w:ascii="宋体" w:hAnsi="宋体" w:cs="宋体"/>
                <w:color w:val="000000"/>
                <w:kern w:val="0"/>
                <w:sz w:val="20"/>
                <w:szCs w:val="20"/>
              </w:rPr>
            </w:pPr>
          </w:p>
        </w:tc>
        <w:tc>
          <w:tcPr>
            <w:tcW w:w="1540" w:type="dxa"/>
            <w:tcBorders>
              <w:top w:val="nil"/>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质量指标</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运维覆盖率</w:t>
            </w:r>
          </w:p>
        </w:tc>
        <w:tc>
          <w:tcPr>
            <w:tcW w:w="2800" w:type="dxa"/>
            <w:tcBorders>
              <w:top w:val="single" w:sz="4" w:space="0" w:color="auto"/>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=100%</w:t>
            </w:r>
          </w:p>
        </w:tc>
        <w:tc>
          <w:tcPr>
            <w:tcW w:w="1538" w:type="dxa"/>
            <w:tcBorders>
              <w:top w:val="nil"/>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100%</w:t>
            </w:r>
          </w:p>
        </w:tc>
        <w:tc>
          <w:tcPr>
            <w:tcW w:w="1134" w:type="dxa"/>
            <w:tcBorders>
              <w:top w:val="nil"/>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10</w:t>
            </w:r>
          </w:p>
        </w:tc>
        <w:tc>
          <w:tcPr>
            <w:tcW w:w="1108" w:type="dxa"/>
            <w:tcBorders>
              <w:top w:val="nil"/>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10</w:t>
            </w:r>
          </w:p>
        </w:tc>
        <w:tc>
          <w:tcPr>
            <w:tcW w:w="2010" w:type="dxa"/>
            <w:tcBorders>
              <w:top w:val="nil"/>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left"/>
              <w:rPr>
                <w:rFonts w:ascii="宋体" w:hAnsi="宋体" w:cs="宋体"/>
                <w:kern w:val="0"/>
                <w:sz w:val="20"/>
                <w:szCs w:val="20"/>
              </w:rPr>
            </w:pPr>
            <w:r w:rsidRPr="00D4205F">
              <w:rPr>
                <w:rFonts w:ascii="宋体" w:hAnsi="宋体" w:cs="宋体" w:hint="eastAsia"/>
                <w:kern w:val="0"/>
                <w:sz w:val="20"/>
                <w:szCs w:val="20"/>
              </w:rPr>
              <w:t xml:space="preserve">　</w:t>
            </w:r>
          </w:p>
        </w:tc>
      </w:tr>
      <w:tr w:rsidR="00D4205F" w:rsidRPr="00D4205F" w:rsidTr="00D4205F">
        <w:trPr>
          <w:trHeight w:val="600"/>
        </w:trPr>
        <w:tc>
          <w:tcPr>
            <w:tcW w:w="560" w:type="dxa"/>
            <w:vMerge/>
            <w:tcBorders>
              <w:top w:val="single" w:sz="4" w:space="0" w:color="auto"/>
              <w:left w:val="single" w:sz="4" w:space="0" w:color="auto"/>
              <w:bottom w:val="single" w:sz="4" w:space="0" w:color="auto"/>
              <w:right w:val="single" w:sz="4" w:space="0" w:color="auto"/>
            </w:tcBorders>
            <w:vAlign w:val="center"/>
            <w:hideMark/>
          </w:tcPr>
          <w:p w:rsidR="00D4205F" w:rsidRPr="00D4205F" w:rsidRDefault="00D4205F" w:rsidP="00D4205F">
            <w:pPr>
              <w:widowControl/>
              <w:jc w:val="left"/>
              <w:rPr>
                <w:rFonts w:ascii="宋体" w:hAnsi="宋体" w:cs="宋体"/>
                <w:color w:val="000000"/>
                <w:kern w:val="0"/>
                <w:sz w:val="20"/>
                <w:szCs w:val="20"/>
              </w:rPr>
            </w:pPr>
          </w:p>
        </w:tc>
        <w:tc>
          <w:tcPr>
            <w:tcW w:w="1240" w:type="dxa"/>
            <w:vMerge/>
            <w:tcBorders>
              <w:top w:val="nil"/>
              <w:left w:val="single" w:sz="4" w:space="0" w:color="auto"/>
              <w:bottom w:val="nil"/>
              <w:right w:val="single" w:sz="4" w:space="0" w:color="auto"/>
            </w:tcBorders>
            <w:vAlign w:val="center"/>
            <w:hideMark/>
          </w:tcPr>
          <w:p w:rsidR="00D4205F" w:rsidRPr="00D4205F" w:rsidRDefault="00D4205F" w:rsidP="00D4205F">
            <w:pPr>
              <w:widowControl/>
              <w:jc w:val="left"/>
              <w:rPr>
                <w:rFonts w:ascii="宋体" w:hAnsi="宋体" w:cs="宋体"/>
                <w:color w:val="000000"/>
                <w:kern w:val="0"/>
                <w:sz w:val="20"/>
                <w:szCs w:val="20"/>
              </w:rPr>
            </w:pPr>
          </w:p>
        </w:tc>
        <w:tc>
          <w:tcPr>
            <w:tcW w:w="1540" w:type="dxa"/>
            <w:tcBorders>
              <w:top w:val="nil"/>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时效指标</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项目实施期</w:t>
            </w:r>
          </w:p>
        </w:tc>
        <w:tc>
          <w:tcPr>
            <w:tcW w:w="2800" w:type="dxa"/>
            <w:tcBorders>
              <w:top w:val="single" w:sz="4" w:space="0" w:color="auto"/>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=1年</w:t>
            </w:r>
          </w:p>
        </w:tc>
        <w:tc>
          <w:tcPr>
            <w:tcW w:w="1538" w:type="dxa"/>
            <w:tcBorders>
              <w:top w:val="nil"/>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1年</w:t>
            </w:r>
          </w:p>
        </w:tc>
        <w:tc>
          <w:tcPr>
            <w:tcW w:w="1134" w:type="dxa"/>
            <w:tcBorders>
              <w:top w:val="nil"/>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10</w:t>
            </w:r>
          </w:p>
        </w:tc>
        <w:tc>
          <w:tcPr>
            <w:tcW w:w="1108" w:type="dxa"/>
            <w:tcBorders>
              <w:top w:val="nil"/>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10</w:t>
            </w:r>
          </w:p>
        </w:tc>
        <w:tc>
          <w:tcPr>
            <w:tcW w:w="2010" w:type="dxa"/>
            <w:tcBorders>
              <w:top w:val="nil"/>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left"/>
              <w:rPr>
                <w:rFonts w:ascii="宋体" w:hAnsi="宋体" w:cs="宋体"/>
                <w:kern w:val="0"/>
                <w:sz w:val="20"/>
                <w:szCs w:val="20"/>
              </w:rPr>
            </w:pPr>
            <w:r w:rsidRPr="00D4205F">
              <w:rPr>
                <w:rFonts w:ascii="宋体" w:hAnsi="宋体" w:cs="宋体" w:hint="eastAsia"/>
                <w:kern w:val="0"/>
                <w:sz w:val="20"/>
                <w:szCs w:val="20"/>
              </w:rPr>
              <w:t xml:space="preserve">　</w:t>
            </w:r>
          </w:p>
        </w:tc>
      </w:tr>
      <w:tr w:rsidR="00D4205F" w:rsidRPr="00D4205F" w:rsidTr="00D4205F">
        <w:trPr>
          <w:trHeight w:val="600"/>
        </w:trPr>
        <w:tc>
          <w:tcPr>
            <w:tcW w:w="560" w:type="dxa"/>
            <w:vMerge/>
            <w:tcBorders>
              <w:top w:val="single" w:sz="4" w:space="0" w:color="auto"/>
              <w:left w:val="single" w:sz="4" w:space="0" w:color="auto"/>
              <w:bottom w:val="single" w:sz="4" w:space="0" w:color="auto"/>
              <w:right w:val="single" w:sz="4" w:space="0" w:color="auto"/>
            </w:tcBorders>
            <w:vAlign w:val="center"/>
            <w:hideMark/>
          </w:tcPr>
          <w:p w:rsidR="00D4205F" w:rsidRPr="00D4205F" w:rsidRDefault="00D4205F" w:rsidP="00D4205F">
            <w:pPr>
              <w:widowControl/>
              <w:jc w:val="left"/>
              <w:rPr>
                <w:rFonts w:ascii="宋体" w:hAnsi="宋体" w:cs="宋体"/>
                <w:color w:val="000000"/>
                <w:kern w:val="0"/>
                <w:sz w:val="20"/>
                <w:szCs w:val="20"/>
              </w:rPr>
            </w:pP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成本指标</w:t>
            </w:r>
          </w:p>
        </w:tc>
        <w:tc>
          <w:tcPr>
            <w:tcW w:w="1540" w:type="dxa"/>
            <w:tcBorders>
              <w:top w:val="nil"/>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经济成本指标</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监控设备维修维护费</w:t>
            </w:r>
          </w:p>
        </w:tc>
        <w:tc>
          <w:tcPr>
            <w:tcW w:w="2800" w:type="dxa"/>
            <w:tcBorders>
              <w:top w:val="single" w:sz="4" w:space="0" w:color="auto"/>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≤1.25万元</w:t>
            </w:r>
          </w:p>
        </w:tc>
        <w:tc>
          <w:tcPr>
            <w:tcW w:w="1538" w:type="dxa"/>
            <w:tcBorders>
              <w:top w:val="nil"/>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1.25万元</w:t>
            </w:r>
          </w:p>
        </w:tc>
        <w:tc>
          <w:tcPr>
            <w:tcW w:w="1134" w:type="dxa"/>
            <w:tcBorders>
              <w:top w:val="nil"/>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10</w:t>
            </w:r>
          </w:p>
        </w:tc>
        <w:tc>
          <w:tcPr>
            <w:tcW w:w="1108" w:type="dxa"/>
            <w:tcBorders>
              <w:top w:val="nil"/>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10</w:t>
            </w:r>
          </w:p>
        </w:tc>
        <w:tc>
          <w:tcPr>
            <w:tcW w:w="2010" w:type="dxa"/>
            <w:tcBorders>
              <w:top w:val="nil"/>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left"/>
              <w:rPr>
                <w:rFonts w:ascii="宋体" w:hAnsi="宋体" w:cs="宋体"/>
                <w:kern w:val="0"/>
                <w:sz w:val="20"/>
                <w:szCs w:val="20"/>
              </w:rPr>
            </w:pPr>
            <w:r w:rsidRPr="00D4205F">
              <w:rPr>
                <w:rFonts w:ascii="宋体" w:hAnsi="宋体" w:cs="宋体" w:hint="eastAsia"/>
                <w:kern w:val="0"/>
                <w:sz w:val="20"/>
                <w:szCs w:val="20"/>
              </w:rPr>
              <w:t xml:space="preserve">　</w:t>
            </w:r>
          </w:p>
        </w:tc>
      </w:tr>
      <w:tr w:rsidR="00D4205F" w:rsidRPr="00D4205F" w:rsidTr="00D4205F">
        <w:trPr>
          <w:trHeight w:val="600"/>
        </w:trPr>
        <w:tc>
          <w:tcPr>
            <w:tcW w:w="560" w:type="dxa"/>
            <w:vMerge/>
            <w:tcBorders>
              <w:top w:val="single" w:sz="4" w:space="0" w:color="auto"/>
              <w:left w:val="single" w:sz="4" w:space="0" w:color="auto"/>
              <w:bottom w:val="single" w:sz="4" w:space="0" w:color="auto"/>
              <w:right w:val="single" w:sz="4" w:space="0" w:color="auto"/>
            </w:tcBorders>
            <w:vAlign w:val="center"/>
            <w:hideMark/>
          </w:tcPr>
          <w:p w:rsidR="00D4205F" w:rsidRPr="00D4205F" w:rsidRDefault="00D4205F" w:rsidP="00D4205F">
            <w:pPr>
              <w:widowControl/>
              <w:jc w:val="left"/>
              <w:rPr>
                <w:rFonts w:ascii="宋体" w:hAnsi="宋体" w:cs="宋体"/>
                <w:color w:val="000000"/>
                <w:kern w:val="0"/>
                <w:sz w:val="20"/>
                <w:szCs w:val="20"/>
              </w:rPr>
            </w:pPr>
          </w:p>
        </w:tc>
        <w:tc>
          <w:tcPr>
            <w:tcW w:w="1240" w:type="dxa"/>
            <w:vMerge w:val="restart"/>
            <w:tcBorders>
              <w:top w:val="nil"/>
              <w:left w:val="single" w:sz="4" w:space="0" w:color="auto"/>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效益指标</w:t>
            </w:r>
          </w:p>
        </w:tc>
        <w:tc>
          <w:tcPr>
            <w:tcW w:w="1540" w:type="dxa"/>
            <w:vMerge w:val="restart"/>
            <w:tcBorders>
              <w:top w:val="nil"/>
              <w:left w:val="single" w:sz="4" w:space="0" w:color="auto"/>
              <w:bottom w:val="single" w:sz="4" w:space="0" w:color="000000"/>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社会效益指标</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原办公区实验场所正常运行</w:t>
            </w:r>
          </w:p>
        </w:tc>
        <w:tc>
          <w:tcPr>
            <w:tcW w:w="2800" w:type="dxa"/>
            <w:tcBorders>
              <w:top w:val="single" w:sz="4" w:space="0" w:color="auto"/>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得到保障</w:t>
            </w:r>
          </w:p>
        </w:tc>
        <w:tc>
          <w:tcPr>
            <w:tcW w:w="1538" w:type="dxa"/>
            <w:tcBorders>
              <w:top w:val="nil"/>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得到有效保障</w:t>
            </w:r>
          </w:p>
        </w:tc>
        <w:tc>
          <w:tcPr>
            <w:tcW w:w="1134" w:type="dxa"/>
            <w:tcBorders>
              <w:top w:val="nil"/>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20</w:t>
            </w:r>
          </w:p>
        </w:tc>
        <w:tc>
          <w:tcPr>
            <w:tcW w:w="1108" w:type="dxa"/>
            <w:tcBorders>
              <w:top w:val="nil"/>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20</w:t>
            </w:r>
          </w:p>
        </w:tc>
        <w:tc>
          <w:tcPr>
            <w:tcW w:w="2010" w:type="dxa"/>
            <w:tcBorders>
              <w:top w:val="nil"/>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left"/>
              <w:rPr>
                <w:rFonts w:ascii="宋体" w:hAnsi="宋体" w:cs="宋体"/>
                <w:kern w:val="0"/>
                <w:sz w:val="20"/>
                <w:szCs w:val="20"/>
              </w:rPr>
            </w:pPr>
            <w:r w:rsidRPr="00D4205F">
              <w:rPr>
                <w:rFonts w:ascii="宋体" w:hAnsi="宋体" w:cs="宋体" w:hint="eastAsia"/>
                <w:kern w:val="0"/>
                <w:sz w:val="20"/>
                <w:szCs w:val="20"/>
              </w:rPr>
              <w:t xml:space="preserve">　</w:t>
            </w:r>
          </w:p>
        </w:tc>
      </w:tr>
      <w:tr w:rsidR="00D4205F" w:rsidRPr="00D4205F" w:rsidTr="00D4205F">
        <w:trPr>
          <w:trHeight w:val="600"/>
        </w:trPr>
        <w:tc>
          <w:tcPr>
            <w:tcW w:w="560" w:type="dxa"/>
            <w:vMerge/>
            <w:tcBorders>
              <w:top w:val="single" w:sz="4" w:space="0" w:color="auto"/>
              <w:left w:val="single" w:sz="4" w:space="0" w:color="auto"/>
              <w:bottom w:val="single" w:sz="4" w:space="0" w:color="auto"/>
              <w:right w:val="single" w:sz="4" w:space="0" w:color="auto"/>
            </w:tcBorders>
            <w:vAlign w:val="center"/>
            <w:hideMark/>
          </w:tcPr>
          <w:p w:rsidR="00D4205F" w:rsidRPr="00D4205F" w:rsidRDefault="00D4205F" w:rsidP="00D4205F">
            <w:pPr>
              <w:widowControl/>
              <w:jc w:val="left"/>
              <w:rPr>
                <w:rFonts w:ascii="宋体" w:hAnsi="宋体" w:cs="宋体"/>
                <w:color w:val="000000"/>
                <w:kern w:val="0"/>
                <w:sz w:val="20"/>
                <w:szCs w:val="20"/>
              </w:rPr>
            </w:pPr>
          </w:p>
        </w:tc>
        <w:tc>
          <w:tcPr>
            <w:tcW w:w="1240" w:type="dxa"/>
            <w:vMerge/>
            <w:tcBorders>
              <w:top w:val="nil"/>
              <w:left w:val="single" w:sz="4" w:space="0" w:color="auto"/>
              <w:bottom w:val="single" w:sz="4" w:space="0" w:color="auto"/>
              <w:right w:val="single" w:sz="4" w:space="0" w:color="auto"/>
            </w:tcBorders>
            <w:vAlign w:val="center"/>
            <w:hideMark/>
          </w:tcPr>
          <w:p w:rsidR="00D4205F" w:rsidRPr="00D4205F" w:rsidRDefault="00D4205F" w:rsidP="00D4205F">
            <w:pPr>
              <w:widowControl/>
              <w:jc w:val="left"/>
              <w:rPr>
                <w:rFonts w:ascii="宋体" w:hAnsi="宋体" w:cs="宋体"/>
                <w:color w:val="000000"/>
                <w:kern w:val="0"/>
                <w:sz w:val="20"/>
                <w:szCs w:val="20"/>
              </w:rPr>
            </w:pPr>
          </w:p>
        </w:tc>
        <w:tc>
          <w:tcPr>
            <w:tcW w:w="1540" w:type="dxa"/>
            <w:vMerge/>
            <w:tcBorders>
              <w:top w:val="nil"/>
              <w:left w:val="single" w:sz="4" w:space="0" w:color="auto"/>
              <w:bottom w:val="single" w:sz="4" w:space="0" w:color="000000"/>
              <w:right w:val="single" w:sz="4" w:space="0" w:color="auto"/>
            </w:tcBorders>
            <w:vAlign w:val="center"/>
            <w:hideMark/>
          </w:tcPr>
          <w:p w:rsidR="00D4205F" w:rsidRPr="00D4205F" w:rsidRDefault="00D4205F" w:rsidP="00D4205F">
            <w:pPr>
              <w:widowControl/>
              <w:jc w:val="left"/>
              <w:rPr>
                <w:rFonts w:ascii="宋体" w:hAnsi="宋体" w:cs="宋体"/>
                <w:color w:val="000000"/>
                <w:kern w:val="0"/>
                <w:sz w:val="20"/>
                <w:szCs w:val="20"/>
              </w:rPr>
            </w:pPr>
          </w:p>
        </w:tc>
        <w:tc>
          <w:tcPr>
            <w:tcW w:w="2260" w:type="dxa"/>
            <w:tcBorders>
              <w:top w:val="single" w:sz="4" w:space="0" w:color="auto"/>
              <w:left w:val="nil"/>
              <w:bottom w:val="single" w:sz="4" w:space="0" w:color="auto"/>
              <w:right w:val="single" w:sz="4" w:space="0" w:color="000000"/>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原办公区搬迁腾退期间正常运转</w:t>
            </w:r>
          </w:p>
        </w:tc>
        <w:tc>
          <w:tcPr>
            <w:tcW w:w="2800" w:type="dxa"/>
            <w:tcBorders>
              <w:top w:val="single" w:sz="4" w:space="0" w:color="auto"/>
              <w:left w:val="nil"/>
              <w:bottom w:val="single" w:sz="4" w:space="0" w:color="auto"/>
              <w:right w:val="single" w:sz="4" w:space="0" w:color="000000"/>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得到保障</w:t>
            </w:r>
          </w:p>
        </w:tc>
        <w:tc>
          <w:tcPr>
            <w:tcW w:w="1538" w:type="dxa"/>
            <w:tcBorders>
              <w:top w:val="nil"/>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得到有效保障</w:t>
            </w:r>
          </w:p>
        </w:tc>
        <w:tc>
          <w:tcPr>
            <w:tcW w:w="1134" w:type="dxa"/>
            <w:tcBorders>
              <w:top w:val="nil"/>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20</w:t>
            </w:r>
          </w:p>
        </w:tc>
        <w:tc>
          <w:tcPr>
            <w:tcW w:w="1108" w:type="dxa"/>
            <w:tcBorders>
              <w:top w:val="nil"/>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color w:val="000000"/>
                <w:kern w:val="0"/>
                <w:sz w:val="20"/>
                <w:szCs w:val="20"/>
              </w:rPr>
            </w:pPr>
            <w:r w:rsidRPr="00D4205F">
              <w:rPr>
                <w:rFonts w:ascii="宋体" w:hAnsi="宋体" w:cs="宋体" w:hint="eastAsia"/>
                <w:color w:val="000000"/>
                <w:kern w:val="0"/>
                <w:sz w:val="20"/>
                <w:szCs w:val="20"/>
              </w:rPr>
              <w:t>20</w:t>
            </w:r>
          </w:p>
        </w:tc>
        <w:tc>
          <w:tcPr>
            <w:tcW w:w="2010" w:type="dxa"/>
            <w:tcBorders>
              <w:top w:val="nil"/>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left"/>
              <w:rPr>
                <w:rFonts w:ascii="宋体" w:hAnsi="宋体" w:cs="宋体"/>
                <w:kern w:val="0"/>
                <w:sz w:val="20"/>
                <w:szCs w:val="20"/>
              </w:rPr>
            </w:pPr>
            <w:r w:rsidRPr="00D4205F">
              <w:rPr>
                <w:rFonts w:ascii="宋体" w:hAnsi="宋体" w:cs="宋体" w:hint="eastAsia"/>
                <w:kern w:val="0"/>
                <w:sz w:val="20"/>
                <w:szCs w:val="20"/>
              </w:rPr>
              <w:t xml:space="preserve">　</w:t>
            </w:r>
          </w:p>
        </w:tc>
      </w:tr>
      <w:tr w:rsidR="00D4205F" w:rsidRPr="00D4205F" w:rsidTr="008E1AF9">
        <w:trPr>
          <w:trHeight w:val="515"/>
        </w:trPr>
        <w:tc>
          <w:tcPr>
            <w:tcW w:w="9938"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D4205F" w:rsidRPr="00D4205F" w:rsidRDefault="00D4205F" w:rsidP="00D4205F">
            <w:pPr>
              <w:widowControl/>
              <w:jc w:val="center"/>
              <w:rPr>
                <w:rFonts w:ascii="宋体" w:hAnsi="宋体" w:cs="宋体"/>
                <w:b/>
                <w:bCs/>
                <w:color w:val="000000"/>
                <w:kern w:val="0"/>
                <w:sz w:val="20"/>
                <w:szCs w:val="20"/>
              </w:rPr>
            </w:pPr>
            <w:r w:rsidRPr="00D4205F">
              <w:rPr>
                <w:rFonts w:ascii="宋体" w:hAnsi="宋体" w:cs="宋体" w:hint="eastAsia"/>
                <w:b/>
                <w:bCs/>
                <w:color w:val="000000"/>
                <w:kern w:val="0"/>
                <w:sz w:val="20"/>
                <w:szCs w:val="20"/>
              </w:rPr>
              <w:t>总分</w:t>
            </w:r>
          </w:p>
        </w:tc>
        <w:tc>
          <w:tcPr>
            <w:tcW w:w="1134" w:type="dxa"/>
            <w:tcBorders>
              <w:top w:val="nil"/>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right"/>
              <w:rPr>
                <w:rFonts w:ascii="宋体" w:hAnsi="宋体" w:cs="宋体"/>
                <w:b/>
                <w:bCs/>
                <w:color w:val="000000"/>
                <w:kern w:val="0"/>
                <w:sz w:val="20"/>
                <w:szCs w:val="20"/>
              </w:rPr>
            </w:pPr>
            <w:r w:rsidRPr="00D4205F">
              <w:rPr>
                <w:rFonts w:ascii="宋体" w:hAnsi="宋体" w:cs="宋体" w:hint="eastAsia"/>
                <w:b/>
                <w:bCs/>
                <w:color w:val="000000"/>
                <w:kern w:val="0"/>
                <w:sz w:val="20"/>
                <w:szCs w:val="20"/>
              </w:rPr>
              <w:t xml:space="preserve">100.00 </w:t>
            </w:r>
          </w:p>
        </w:tc>
        <w:tc>
          <w:tcPr>
            <w:tcW w:w="1108" w:type="dxa"/>
            <w:tcBorders>
              <w:top w:val="nil"/>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center"/>
              <w:rPr>
                <w:rFonts w:ascii="宋体" w:hAnsi="宋体" w:cs="宋体"/>
                <w:b/>
                <w:bCs/>
                <w:color w:val="000000"/>
                <w:kern w:val="0"/>
                <w:sz w:val="20"/>
                <w:szCs w:val="20"/>
              </w:rPr>
            </w:pPr>
            <w:r w:rsidRPr="00D4205F">
              <w:rPr>
                <w:rFonts w:ascii="宋体" w:hAnsi="宋体" w:cs="宋体" w:hint="eastAsia"/>
                <w:b/>
                <w:bCs/>
                <w:color w:val="000000"/>
                <w:kern w:val="0"/>
                <w:sz w:val="20"/>
                <w:szCs w:val="20"/>
              </w:rPr>
              <w:t xml:space="preserve">96.59 </w:t>
            </w:r>
          </w:p>
        </w:tc>
        <w:tc>
          <w:tcPr>
            <w:tcW w:w="2010" w:type="dxa"/>
            <w:tcBorders>
              <w:top w:val="nil"/>
              <w:left w:val="nil"/>
              <w:bottom w:val="single" w:sz="4" w:space="0" w:color="auto"/>
              <w:right w:val="single" w:sz="4" w:space="0" w:color="auto"/>
            </w:tcBorders>
            <w:shd w:val="clear" w:color="auto" w:fill="auto"/>
            <w:vAlign w:val="center"/>
            <w:hideMark/>
          </w:tcPr>
          <w:p w:rsidR="00D4205F" w:rsidRPr="00D4205F" w:rsidRDefault="00D4205F" w:rsidP="00D4205F">
            <w:pPr>
              <w:widowControl/>
              <w:jc w:val="left"/>
              <w:rPr>
                <w:rFonts w:ascii="宋体" w:hAnsi="宋体" w:cs="宋体"/>
                <w:b/>
                <w:bCs/>
                <w:color w:val="000000"/>
                <w:kern w:val="0"/>
                <w:sz w:val="20"/>
                <w:szCs w:val="20"/>
              </w:rPr>
            </w:pPr>
            <w:r w:rsidRPr="00D4205F">
              <w:rPr>
                <w:rFonts w:ascii="宋体" w:hAnsi="宋体" w:cs="宋体" w:hint="eastAsia"/>
                <w:b/>
                <w:bCs/>
                <w:color w:val="000000"/>
                <w:kern w:val="0"/>
                <w:sz w:val="20"/>
                <w:szCs w:val="20"/>
              </w:rPr>
              <w:t xml:space="preserve">　</w:t>
            </w:r>
          </w:p>
        </w:tc>
      </w:tr>
    </w:tbl>
    <w:p w:rsidR="00D4205F" w:rsidRPr="00D4205F" w:rsidRDefault="00D4205F" w:rsidP="00D4205F"/>
    <w:p w:rsidR="00D4205F" w:rsidRPr="00D4205F" w:rsidRDefault="00D4205F" w:rsidP="00D4205F"/>
    <w:p w:rsidR="00D4205F" w:rsidRPr="00D4205F" w:rsidRDefault="00D4205F" w:rsidP="00D4205F"/>
    <w:p w:rsidR="00D4205F" w:rsidRDefault="00D4205F" w:rsidP="00D4205F"/>
    <w:p w:rsidR="00D4205F" w:rsidRDefault="00D4205F" w:rsidP="00D4205F"/>
    <w:p w:rsidR="00D4205F" w:rsidRPr="00D4205F" w:rsidRDefault="00D4205F" w:rsidP="00D4205F"/>
    <w:p w:rsidR="00D4205F" w:rsidRDefault="00D4205F" w:rsidP="00D4205F"/>
    <w:p w:rsidR="00D4205F" w:rsidRPr="00D4205F" w:rsidRDefault="00D4205F" w:rsidP="00D4205F"/>
    <w:p w:rsidR="00D4205F" w:rsidRDefault="00D4205F" w:rsidP="00D4205F"/>
    <w:p w:rsidR="00D4205F" w:rsidRPr="00D4205F" w:rsidRDefault="00D4205F" w:rsidP="00D4205F"/>
    <w:p w:rsidR="00D4205F" w:rsidRPr="00D4205F" w:rsidRDefault="00D4205F" w:rsidP="00D4205F"/>
    <w:p w:rsidR="00D4205F" w:rsidRPr="00D4205F" w:rsidRDefault="00D4205F" w:rsidP="00D4205F"/>
    <w:tbl>
      <w:tblPr>
        <w:tblW w:w="14540" w:type="dxa"/>
        <w:tblInd w:w="93" w:type="dxa"/>
        <w:tblLook w:val="04A0" w:firstRow="1" w:lastRow="0" w:firstColumn="1" w:lastColumn="0" w:noHBand="0" w:noVBand="1"/>
      </w:tblPr>
      <w:tblGrid>
        <w:gridCol w:w="560"/>
        <w:gridCol w:w="2780"/>
        <w:gridCol w:w="2480"/>
        <w:gridCol w:w="1300"/>
        <w:gridCol w:w="1500"/>
        <w:gridCol w:w="1700"/>
        <w:gridCol w:w="1160"/>
        <w:gridCol w:w="1240"/>
        <w:gridCol w:w="1360"/>
        <w:gridCol w:w="460"/>
      </w:tblGrid>
      <w:tr w:rsidR="00D4205F" w:rsidTr="008E1AF9">
        <w:trPr>
          <w:trHeight w:val="405"/>
        </w:trPr>
        <w:tc>
          <w:tcPr>
            <w:tcW w:w="14540" w:type="dxa"/>
            <w:gridSpan w:val="10"/>
            <w:tcBorders>
              <w:top w:val="nil"/>
              <w:left w:val="nil"/>
              <w:bottom w:val="nil"/>
              <w:right w:val="nil"/>
            </w:tcBorders>
            <w:shd w:val="clear" w:color="auto" w:fill="auto"/>
            <w:vAlign w:val="center"/>
          </w:tcPr>
          <w:p w:rsidR="00D4205F" w:rsidRDefault="00D4205F" w:rsidP="00D12142">
            <w:pPr>
              <w:widowControl/>
              <w:jc w:val="center"/>
              <w:rPr>
                <w:rFonts w:ascii="宋体" w:hAnsi="宋体" w:cs="宋体"/>
                <w:b/>
                <w:bCs/>
                <w:color w:val="000000"/>
                <w:kern w:val="0"/>
                <w:sz w:val="32"/>
                <w:szCs w:val="32"/>
              </w:rPr>
            </w:pPr>
            <w:bookmarkStart w:id="14" w:name="_GoBack"/>
            <w:bookmarkEnd w:id="14"/>
            <w:r>
              <w:rPr>
                <w:rFonts w:ascii="宋体" w:hAnsi="宋体" w:cs="宋体" w:hint="eastAsia"/>
                <w:b/>
                <w:bCs/>
                <w:color w:val="000000"/>
                <w:kern w:val="0"/>
                <w:sz w:val="32"/>
                <w:szCs w:val="32"/>
              </w:rPr>
              <w:lastRenderedPageBreak/>
              <w:t>项目支出绩效自评表</w:t>
            </w:r>
          </w:p>
        </w:tc>
      </w:tr>
      <w:tr w:rsidR="00D4205F" w:rsidTr="008E1AF9">
        <w:trPr>
          <w:trHeight w:val="435"/>
        </w:trPr>
        <w:tc>
          <w:tcPr>
            <w:tcW w:w="14540" w:type="dxa"/>
            <w:gridSpan w:val="10"/>
            <w:tcBorders>
              <w:top w:val="nil"/>
              <w:left w:val="nil"/>
              <w:bottom w:val="nil"/>
              <w:right w:val="nil"/>
            </w:tcBorders>
            <w:shd w:val="clear" w:color="auto" w:fill="auto"/>
            <w:vAlign w:val="center"/>
          </w:tcPr>
          <w:p w:rsidR="00D4205F" w:rsidRDefault="00D4205F" w:rsidP="00D12142">
            <w:pPr>
              <w:widowControl/>
              <w:jc w:val="center"/>
              <w:rPr>
                <w:rFonts w:ascii="宋体" w:hAnsi="宋体" w:cs="宋体"/>
                <w:color w:val="000000"/>
                <w:kern w:val="0"/>
                <w:sz w:val="22"/>
                <w:szCs w:val="22"/>
              </w:rPr>
            </w:pPr>
            <w:r>
              <w:rPr>
                <w:rFonts w:ascii="宋体" w:hAnsi="宋体" w:cs="宋体" w:hint="eastAsia"/>
                <w:color w:val="000000"/>
                <w:kern w:val="0"/>
                <w:sz w:val="22"/>
                <w:szCs w:val="22"/>
              </w:rPr>
              <w:t>（2024年度）</w:t>
            </w:r>
          </w:p>
        </w:tc>
      </w:tr>
      <w:tr w:rsidR="008E1AF9" w:rsidRPr="008E1AF9" w:rsidTr="008E1AF9">
        <w:trPr>
          <w:gridAfter w:val="1"/>
          <w:wAfter w:w="460" w:type="dxa"/>
          <w:trHeight w:val="567"/>
        </w:trPr>
        <w:tc>
          <w:tcPr>
            <w:tcW w:w="33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kern w:val="0"/>
                <w:sz w:val="20"/>
                <w:szCs w:val="20"/>
              </w:rPr>
            </w:pPr>
            <w:r w:rsidRPr="008E1AF9">
              <w:rPr>
                <w:rFonts w:ascii="宋体" w:hAnsi="宋体" w:cs="宋体" w:hint="eastAsia"/>
                <w:kern w:val="0"/>
                <w:sz w:val="20"/>
                <w:szCs w:val="20"/>
              </w:rPr>
              <w:t>项目名称</w:t>
            </w:r>
          </w:p>
        </w:tc>
        <w:tc>
          <w:tcPr>
            <w:tcW w:w="10740" w:type="dxa"/>
            <w:gridSpan w:val="7"/>
            <w:tcBorders>
              <w:top w:val="single" w:sz="4" w:space="0" w:color="auto"/>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综合服务保障经费</w:t>
            </w:r>
          </w:p>
        </w:tc>
      </w:tr>
      <w:tr w:rsidR="008E1AF9" w:rsidRPr="008E1AF9" w:rsidTr="008E1AF9">
        <w:trPr>
          <w:gridAfter w:val="1"/>
          <w:wAfter w:w="460" w:type="dxa"/>
          <w:trHeight w:val="567"/>
        </w:trPr>
        <w:tc>
          <w:tcPr>
            <w:tcW w:w="33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主管部门</w:t>
            </w:r>
          </w:p>
        </w:tc>
        <w:tc>
          <w:tcPr>
            <w:tcW w:w="5280" w:type="dxa"/>
            <w:gridSpan w:val="3"/>
            <w:tcBorders>
              <w:top w:val="single" w:sz="4" w:space="0" w:color="auto"/>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北京市药品监督管理局066</w:t>
            </w:r>
          </w:p>
        </w:tc>
        <w:tc>
          <w:tcPr>
            <w:tcW w:w="1700" w:type="dxa"/>
            <w:tcBorders>
              <w:top w:val="nil"/>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实施单位</w:t>
            </w:r>
          </w:p>
        </w:tc>
        <w:tc>
          <w:tcPr>
            <w:tcW w:w="3760" w:type="dxa"/>
            <w:gridSpan w:val="3"/>
            <w:tcBorders>
              <w:top w:val="single" w:sz="4" w:space="0" w:color="auto"/>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北京市药品监督管理局综合事务中心</w:t>
            </w:r>
          </w:p>
        </w:tc>
      </w:tr>
      <w:tr w:rsidR="008E1AF9" w:rsidRPr="008E1AF9" w:rsidTr="008E1AF9">
        <w:trPr>
          <w:gridAfter w:val="1"/>
          <w:wAfter w:w="460" w:type="dxa"/>
          <w:trHeight w:val="567"/>
        </w:trPr>
        <w:tc>
          <w:tcPr>
            <w:tcW w:w="33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项目资金（万元）</w:t>
            </w:r>
          </w:p>
        </w:tc>
        <w:tc>
          <w:tcPr>
            <w:tcW w:w="2480" w:type="dxa"/>
            <w:tcBorders>
              <w:top w:val="single" w:sz="4" w:space="0" w:color="auto"/>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 xml:space="preserve">　</w:t>
            </w:r>
          </w:p>
        </w:tc>
        <w:tc>
          <w:tcPr>
            <w:tcW w:w="1300" w:type="dxa"/>
            <w:tcBorders>
              <w:top w:val="nil"/>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年初预算数</w:t>
            </w:r>
          </w:p>
        </w:tc>
        <w:tc>
          <w:tcPr>
            <w:tcW w:w="1500" w:type="dxa"/>
            <w:tcBorders>
              <w:top w:val="nil"/>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全年预算数</w:t>
            </w:r>
          </w:p>
        </w:tc>
        <w:tc>
          <w:tcPr>
            <w:tcW w:w="1700" w:type="dxa"/>
            <w:tcBorders>
              <w:top w:val="nil"/>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全年执行数</w:t>
            </w:r>
          </w:p>
        </w:tc>
        <w:tc>
          <w:tcPr>
            <w:tcW w:w="1160" w:type="dxa"/>
            <w:tcBorders>
              <w:top w:val="nil"/>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分值</w:t>
            </w:r>
          </w:p>
        </w:tc>
        <w:tc>
          <w:tcPr>
            <w:tcW w:w="1240" w:type="dxa"/>
            <w:tcBorders>
              <w:top w:val="nil"/>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执行率</w:t>
            </w:r>
          </w:p>
        </w:tc>
        <w:tc>
          <w:tcPr>
            <w:tcW w:w="1360" w:type="dxa"/>
            <w:tcBorders>
              <w:top w:val="nil"/>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得分</w:t>
            </w:r>
          </w:p>
        </w:tc>
      </w:tr>
      <w:tr w:rsidR="008E1AF9" w:rsidRPr="008E1AF9" w:rsidTr="008E1AF9">
        <w:trPr>
          <w:gridAfter w:val="1"/>
          <w:wAfter w:w="460" w:type="dxa"/>
          <w:trHeight w:val="567"/>
        </w:trPr>
        <w:tc>
          <w:tcPr>
            <w:tcW w:w="3340" w:type="dxa"/>
            <w:gridSpan w:val="2"/>
            <w:vMerge/>
            <w:tcBorders>
              <w:top w:val="single" w:sz="4" w:space="0" w:color="auto"/>
              <w:left w:val="single" w:sz="4" w:space="0" w:color="auto"/>
              <w:bottom w:val="single" w:sz="4" w:space="0" w:color="auto"/>
              <w:right w:val="single" w:sz="4" w:space="0" w:color="auto"/>
            </w:tcBorders>
            <w:vAlign w:val="center"/>
            <w:hideMark/>
          </w:tcPr>
          <w:p w:rsidR="008E1AF9" w:rsidRPr="008E1AF9" w:rsidRDefault="008E1AF9" w:rsidP="008E1AF9">
            <w:pPr>
              <w:widowControl/>
              <w:jc w:val="left"/>
              <w:rPr>
                <w:rFonts w:ascii="宋体" w:hAnsi="宋体" w:cs="宋体"/>
                <w:color w:val="000000"/>
                <w:kern w:val="0"/>
                <w:sz w:val="20"/>
                <w:szCs w:val="20"/>
              </w:rPr>
            </w:pPr>
          </w:p>
        </w:tc>
        <w:tc>
          <w:tcPr>
            <w:tcW w:w="2480" w:type="dxa"/>
            <w:tcBorders>
              <w:top w:val="single" w:sz="4" w:space="0" w:color="auto"/>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left"/>
              <w:rPr>
                <w:rFonts w:ascii="宋体" w:hAnsi="宋体" w:cs="宋体"/>
                <w:color w:val="000000"/>
                <w:kern w:val="0"/>
                <w:sz w:val="20"/>
                <w:szCs w:val="20"/>
              </w:rPr>
            </w:pPr>
            <w:r w:rsidRPr="008E1AF9">
              <w:rPr>
                <w:rFonts w:ascii="宋体" w:hAnsi="宋体" w:cs="宋体" w:hint="eastAsia"/>
                <w:color w:val="000000"/>
                <w:kern w:val="0"/>
                <w:sz w:val="20"/>
                <w:szCs w:val="20"/>
              </w:rPr>
              <w:t>年度资金总额：</w:t>
            </w:r>
          </w:p>
        </w:tc>
        <w:tc>
          <w:tcPr>
            <w:tcW w:w="1300" w:type="dxa"/>
            <w:tcBorders>
              <w:top w:val="nil"/>
              <w:left w:val="nil"/>
              <w:bottom w:val="single" w:sz="4" w:space="0" w:color="auto"/>
              <w:right w:val="single" w:sz="4" w:space="0" w:color="auto"/>
            </w:tcBorders>
            <w:shd w:val="clear" w:color="000000" w:fill="FFFFFF"/>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 xml:space="preserve">129.170000 </w:t>
            </w:r>
          </w:p>
        </w:tc>
        <w:tc>
          <w:tcPr>
            <w:tcW w:w="1500" w:type="dxa"/>
            <w:tcBorders>
              <w:top w:val="nil"/>
              <w:left w:val="nil"/>
              <w:bottom w:val="single" w:sz="4" w:space="0" w:color="auto"/>
              <w:right w:val="single" w:sz="4" w:space="0" w:color="auto"/>
            </w:tcBorders>
            <w:shd w:val="clear" w:color="000000" w:fill="FFFFFF"/>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 xml:space="preserve">129.170000 </w:t>
            </w:r>
          </w:p>
        </w:tc>
        <w:tc>
          <w:tcPr>
            <w:tcW w:w="1700" w:type="dxa"/>
            <w:tcBorders>
              <w:top w:val="nil"/>
              <w:left w:val="nil"/>
              <w:bottom w:val="single" w:sz="4" w:space="0" w:color="auto"/>
              <w:right w:val="single" w:sz="4" w:space="0" w:color="auto"/>
            </w:tcBorders>
            <w:shd w:val="clear" w:color="000000" w:fill="FFFFFF"/>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 xml:space="preserve">67.442528 </w:t>
            </w:r>
          </w:p>
        </w:tc>
        <w:tc>
          <w:tcPr>
            <w:tcW w:w="1160" w:type="dxa"/>
            <w:tcBorders>
              <w:top w:val="nil"/>
              <w:left w:val="nil"/>
              <w:bottom w:val="single" w:sz="4" w:space="0" w:color="auto"/>
              <w:right w:val="single" w:sz="4" w:space="0" w:color="auto"/>
            </w:tcBorders>
            <w:shd w:val="clear" w:color="000000" w:fill="FFFFFF"/>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 xml:space="preserve">10.00 </w:t>
            </w:r>
          </w:p>
        </w:tc>
        <w:tc>
          <w:tcPr>
            <w:tcW w:w="1240" w:type="dxa"/>
            <w:tcBorders>
              <w:top w:val="nil"/>
              <w:left w:val="nil"/>
              <w:bottom w:val="single" w:sz="4" w:space="0" w:color="auto"/>
              <w:right w:val="single" w:sz="4" w:space="0" w:color="auto"/>
            </w:tcBorders>
            <w:shd w:val="clear" w:color="000000" w:fill="FFFFFF"/>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52.21%</w:t>
            </w:r>
          </w:p>
        </w:tc>
        <w:tc>
          <w:tcPr>
            <w:tcW w:w="1360" w:type="dxa"/>
            <w:tcBorders>
              <w:top w:val="nil"/>
              <w:left w:val="nil"/>
              <w:bottom w:val="single" w:sz="4" w:space="0" w:color="auto"/>
              <w:right w:val="single" w:sz="4" w:space="0" w:color="auto"/>
            </w:tcBorders>
            <w:shd w:val="clear" w:color="000000" w:fill="FFFFFF"/>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 xml:space="preserve">5.22 </w:t>
            </w:r>
          </w:p>
        </w:tc>
      </w:tr>
      <w:tr w:rsidR="008E1AF9" w:rsidRPr="008E1AF9" w:rsidTr="008E1AF9">
        <w:trPr>
          <w:gridAfter w:val="1"/>
          <w:wAfter w:w="460" w:type="dxa"/>
          <w:trHeight w:val="567"/>
        </w:trPr>
        <w:tc>
          <w:tcPr>
            <w:tcW w:w="3340" w:type="dxa"/>
            <w:gridSpan w:val="2"/>
            <w:vMerge/>
            <w:tcBorders>
              <w:top w:val="single" w:sz="4" w:space="0" w:color="auto"/>
              <w:left w:val="single" w:sz="4" w:space="0" w:color="auto"/>
              <w:bottom w:val="single" w:sz="4" w:space="0" w:color="auto"/>
              <w:right w:val="single" w:sz="4" w:space="0" w:color="auto"/>
            </w:tcBorders>
            <w:vAlign w:val="center"/>
            <w:hideMark/>
          </w:tcPr>
          <w:p w:rsidR="008E1AF9" w:rsidRPr="008E1AF9" w:rsidRDefault="008E1AF9" w:rsidP="008E1AF9">
            <w:pPr>
              <w:widowControl/>
              <w:jc w:val="left"/>
              <w:rPr>
                <w:rFonts w:ascii="宋体" w:hAnsi="宋体" w:cs="宋体"/>
                <w:color w:val="000000"/>
                <w:kern w:val="0"/>
                <w:sz w:val="20"/>
                <w:szCs w:val="20"/>
              </w:rPr>
            </w:pPr>
          </w:p>
        </w:tc>
        <w:tc>
          <w:tcPr>
            <w:tcW w:w="2480" w:type="dxa"/>
            <w:tcBorders>
              <w:top w:val="single" w:sz="4" w:space="0" w:color="auto"/>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其中：当年财政拨款</w:t>
            </w:r>
          </w:p>
        </w:tc>
        <w:tc>
          <w:tcPr>
            <w:tcW w:w="1300" w:type="dxa"/>
            <w:tcBorders>
              <w:top w:val="nil"/>
              <w:left w:val="nil"/>
              <w:bottom w:val="single" w:sz="4" w:space="0" w:color="auto"/>
              <w:right w:val="single" w:sz="4" w:space="0" w:color="auto"/>
            </w:tcBorders>
            <w:shd w:val="clear" w:color="000000" w:fill="FFFFFF"/>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 xml:space="preserve">129.170000 </w:t>
            </w:r>
          </w:p>
        </w:tc>
        <w:tc>
          <w:tcPr>
            <w:tcW w:w="1500" w:type="dxa"/>
            <w:tcBorders>
              <w:top w:val="nil"/>
              <w:left w:val="nil"/>
              <w:bottom w:val="single" w:sz="4" w:space="0" w:color="auto"/>
              <w:right w:val="single" w:sz="4" w:space="0" w:color="auto"/>
            </w:tcBorders>
            <w:shd w:val="clear" w:color="000000" w:fill="FFFFFF"/>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 xml:space="preserve">129.170000 </w:t>
            </w:r>
          </w:p>
        </w:tc>
        <w:tc>
          <w:tcPr>
            <w:tcW w:w="1700" w:type="dxa"/>
            <w:tcBorders>
              <w:top w:val="nil"/>
              <w:left w:val="nil"/>
              <w:bottom w:val="single" w:sz="4" w:space="0" w:color="auto"/>
              <w:right w:val="single" w:sz="4" w:space="0" w:color="auto"/>
            </w:tcBorders>
            <w:shd w:val="clear" w:color="000000" w:fill="FFFFFF"/>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 xml:space="preserve">67.442528 </w:t>
            </w:r>
          </w:p>
        </w:tc>
        <w:tc>
          <w:tcPr>
            <w:tcW w:w="1160" w:type="dxa"/>
            <w:tcBorders>
              <w:top w:val="nil"/>
              <w:left w:val="nil"/>
              <w:bottom w:val="single" w:sz="4" w:space="0" w:color="auto"/>
              <w:right w:val="single" w:sz="4" w:space="0" w:color="auto"/>
            </w:tcBorders>
            <w:shd w:val="clear" w:color="000000" w:fill="FFFFFF"/>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w:t>
            </w:r>
          </w:p>
        </w:tc>
        <w:tc>
          <w:tcPr>
            <w:tcW w:w="1240" w:type="dxa"/>
            <w:tcBorders>
              <w:top w:val="nil"/>
              <w:left w:val="nil"/>
              <w:bottom w:val="single" w:sz="4" w:space="0" w:color="auto"/>
              <w:right w:val="single" w:sz="4" w:space="0" w:color="auto"/>
            </w:tcBorders>
            <w:shd w:val="clear" w:color="000000" w:fill="FFFFFF"/>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 xml:space="preserve">　</w:t>
            </w:r>
          </w:p>
        </w:tc>
        <w:tc>
          <w:tcPr>
            <w:tcW w:w="1360" w:type="dxa"/>
            <w:tcBorders>
              <w:top w:val="nil"/>
              <w:left w:val="nil"/>
              <w:bottom w:val="single" w:sz="4" w:space="0" w:color="auto"/>
              <w:right w:val="single" w:sz="4" w:space="0" w:color="auto"/>
            </w:tcBorders>
            <w:shd w:val="clear" w:color="000000" w:fill="FFFFFF"/>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 xml:space="preserve">　</w:t>
            </w:r>
          </w:p>
        </w:tc>
      </w:tr>
      <w:tr w:rsidR="008E1AF9" w:rsidRPr="008E1AF9" w:rsidTr="008E1AF9">
        <w:trPr>
          <w:gridAfter w:val="1"/>
          <w:wAfter w:w="460" w:type="dxa"/>
          <w:trHeight w:val="567"/>
        </w:trPr>
        <w:tc>
          <w:tcPr>
            <w:tcW w:w="3340" w:type="dxa"/>
            <w:gridSpan w:val="2"/>
            <w:vMerge/>
            <w:tcBorders>
              <w:top w:val="single" w:sz="4" w:space="0" w:color="auto"/>
              <w:left w:val="single" w:sz="4" w:space="0" w:color="auto"/>
              <w:bottom w:val="single" w:sz="4" w:space="0" w:color="auto"/>
              <w:right w:val="single" w:sz="4" w:space="0" w:color="auto"/>
            </w:tcBorders>
            <w:vAlign w:val="center"/>
            <w:hideMark/>
          </w:tcPr>
          <w:p w:rsidR="008E1AF9" w:rsidRPr="008E1AF9" w:rsidRDefault="008E1AF9" w:rsidP="008E1AF9">
            <w:pPr>
              <w:widowControl/>
              <w:jc w:val="left"/>
              <w:rPr>
                <w:rFonts w:ascii="宋体" w:hAnsi="宋体" w:cs="宋体"/>
                <w:color w:val="000000"/>
                <w:kern w:val="0"/>
                <w:sz w:val="20"/>
                <w:szCs w:val="20"/>
              </w:rPr>
            </w:pPr>
          </w:p>
        </w:tc>
        <w:tc>
          <w:tcPr>
            <w:tcW w:w="2480" w:type="dxa"/>
            <w:tcBorders>
              <w:top w:val="single" w:sz="4" w:space="0" w:color="auto"/>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 xml:space="preserve">     上年结转资金</w:t>
            </w:r>
          </w:p>
        </w:tc>
        <w:tc>
          <w:tcPr>
            <w:tcW w:w="1300" w:type="dxa"/>
            <w:tcBorders>
              <w:top w:val="nil"/>
              <w:left w:val="nil"/>
              <w:bottom w:val="single" w:sz="4" w:space="0" w:color="auto"/>
              <w:right w:val="single" w:sz="4" w:space="0" w:color="auto"/>
            </w:tcBorders>
            <w:shd w:val="clear" w:color="000000" w:fill="FFFFFF"/>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 xml:space="preserve">　</w:t>
            </w:r>
          </w:p>
        </w:tc>
        <w:tc>
          <w:tcPr>
            <w:tcW w:w="1700" w:type="dxa"/>
            <w:tcBorders>
              <w:top w:val="nil"/>
              <w:left w:val="nil"/>
              <w:bottom w:val="single" w:sz="4" w:space="0" w:color="auto"/>
              <w:right w:val="single" w:sz="4" w:space="0" w:color="auto"/>
            </w:tcBorders>
            <w:shd w:val="clear" w:color="000000" w:fill="FFFFFF"/>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 xml:space="preserve">　</w:t>
            </w:r>
          </w:p>
        </w:tc>
        <w:tc>
          <w:tcPr>
            <w:tcW w:w="1160" w:type="dxa"/>
            <w:tcBorders>
              <w:top w:val="nil"/>
              <w:left w:val="nil"/>
              <w:bottom w:val="single" w:sz="4" w:space="0" w:color="auto"/>
              <w:right w:val="single" w:sz="4" w:space="0" w:color="auto"/>
            </w:tcBorders>
            <w:shd w:val="clear" w:color="000000" w:fill="FFFFFF"/>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w:t>
            </w:r>
          </w:p>
        </w:tc>
        <w:tc>
          <w:tcPr>
            <w:tcW w:w="1240" w:type="dxa"/>
            <w:tcBorders>
              <w:top w:val="nil"/>
              <w:left w:val="nil"/>
              <w:bottom w:val="single" w:sz="4" w:space="0" w:color="auto"/>
              <w:right w:val="single" w:sz="4" w:space="0" w:color="auto"/>
            </w:tcBorders>
            <w:shd w:val="clear" w:color="000000" w:fill="FFFFFF"/>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 xml:space="preserve">　</w:t>
            </w:r>
          </w:p>
        </w:tc>
        <w:tc>
          <w:tcPr>
            <w:tcW w:w="1360" w:type="dxa"/>
            <w:tcBorders>
              <w:top w:val="nil"/>
              <w:left w:val="nil"/>
              <w:bottom w:val="single" w:sz="4" w:space="0" w:color="auto"/>
              <w:right w:val="single" w:sz="4" w:space="0" w:color="auto"/>
            </w:tcBorders>
            <w:shd w:val="clear" w:color="000000" w:fill="FFFFFF"/>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 xml:space="preserve">　</w:t>
            </w:r>
          </w:p>
        </w:tc>
      </w:tr>
      <w:tr w:rsidR="008E1AF9" w:rsidRPr="008E1AF9" w:rsidTr="008E1AF9">
        <w:trPr>
          <w:gridAfter w:val="1"/>
          <w:wAfter w:w="460" w:type="dxa"/>
          <w:trHeight w:val="567"/>
        </w:trPr>
        <w:tc>
          <w:tcPr>
            <w:tcW w:w="3340" w:type="dxa"/>
            <w:gridSpan w:val="2"/>
            <w:vMerge/>
            <w:tcBorders>
              <w:top w:val="single" w:sz="4" w:space="0" w:color="auto"/>
              <w:left w:val="single" w:sz="4" w:space="0" w:color="auto"/>
              <w:bottom w:val="single" w:sz="4" w:space="0" w:color="auto"/>
              <w:right w:val="single" w:sz="4" w:space="0" w:color="auto"/>
            </w:tcBorders>
            <w:vAlign w:val="center"/>
            <w:hideMark/>
          </w:tcPr>
          <w:p w:rsidR="008E1AF9" w:rsidRPr="008E1AF9" w:rsidRDefault="008E1AF9" w:rsidP="008E1AF9">
            <w:pPr>
              <w:widowControl/>
              <w:jc w:val="left"/>
              <w:rPr>
                <w:rFonts w:ascii="宋体" w:hAnsi="宋体" w:cs="宋体"/>
                <w:color w:val="000000"/>
                <w:kern w:val="0"/>
                <w:sz w:val="20"/>
                <w:szCs w:val="20"/>
              </w:rPr>
            </w:pPr>
          </w:p>
        </w:tc>
        <w:tc>
          <w:tcPr>
            <w:tcW w:w="2480" w:type="dxa"/>
            <w:tcBorders>
              <w:top w:val="single" w:sz="4" w:space="0" w:color="auto"/>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left"/>
              <w:rPr>
                <w:rFonts w:ascii="宋体" w:hAnsi="宋体" w:cs="宋体"/>
                <w:color w:val="000000"/>
                <w:kern w:val="0"/>
                <w:sz w:val="20"/>
                <w:szCs w:val="20"/>
              </w:rPr>
            </w:pPr>
            <w:r w:rsidRPr="008E1AF9">
              <w:rPr>
                <w:rFonts w:ascii="宋体" w:hAnsi="宋体" w:cs="宋体" w:hint="eastAsia"/>
                <w:color w:val="000000"/>
                <w:kern w:val="0"/>
                <w:sz w:val="20"/>
                <w:szCs w:val="20"/>
              </w:rPr>
              <w:t xml:space="preserve">          其他资金</w:t>
            </w:r>
          </w:p>
        </w:tc>
        <w:tc>
          <w:tcPr>
            <w:tcW w:w="1300" w:type="dxa"/>
            <w:tcBorders>
              <w:top w:val="nil"/>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 xml:space="preserve">　</w:t>
            </w:r>
          </w:p>
        </w:tc>
        <w:tc>
          <w:tcPr>
            <w:tcW w:w="1500" w:type="dxa"/>
            <w:tcBorders>
              <w:top w:val="nil"/>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 xml:space="preserve">　</w:t>
            </w:r>
          </w:p>
        </w:tc>
        <w:tc>
          <w:tcPr>
            <w:tcW w:w="1700" w:type="dxa"/>
            <w:tcBorders>
              <w:top w:val="nil"/>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 xml:space="preserve">　</w:t>
            </w:r>
          </w:p>
        </w:tc>
        <w:tc>
          <w:tcPr>
            <w:tcW w:w="1160" w:type="dxa"/>
            <w:tcBorders>
              <w:top w:val="nil"/>
              <w:left w:val="nil"/>
              <w:bottom w:val="single" w:sz="4" w:space="0" w:color="auto"/>
              <w:right w:val="single" w:sz="4" w:space="0" w:color="auto"/>
            </w:tcBorders>
            <w:shd w:val="clear" w:color="000000" w:fill="FFFFFF"/>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w:t>
            </w:r>
          </w:p>
        </w:tc>
        <w:tc>
          <w:tcPr>
            <w:tcW w:w="1240" w:type="dxa"/>
            <w:tcBorders>
              <w:top w:val="nil"/>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 xml:space="preserve">　</w:t>
            </w:r>
          </w:p>
        </w:tc>
        <w:tc>
          <w:tcPr>
            <w:tcW w:w="1360" w:type="dxa"/>
            <w:tcBorders>
              <w:top w:val="nil"/>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 xml:space="preserve">　</w:t>
            </w:r>
          </w:p>
        </w:tc>
      </w:tr>
      <w:tr w:rsidR="008E1AF9" w:rsidRPr="008E1AF9" w:rsidTr="008E1AF9">
        <w:trPr>
          <w:gridAfter w:val="1"/>
          <w:wAfter w:w="460" w:type="dxa"/>
          <w:trHeight w:val="567"/>
        </w:trPr>
        <w:tc>
          <w:tcPr>
            <w:tcW w:w="560" w:type="dxa"/>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年度总体目标</w:t>
            </w:r>
          </w:p>
        </w:tc>
        <w:tc>
          <w:tcPr>
            <w:tcW w:w="8060" w:type="dxa"/>
            <w:gridSpan w:val="4"/>
            <w:tcBorders>
              <w:top w:val="single" w:sz="4" w:space="0" w:color="auto"/>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预期目标</w:t>
            </w:r>
          </w:p>
        </w:tc>
        <w:tc>
          <w:tcPr>
            <w:tcW w:w="5460" w:type="dxa"/>
            <w:gridSpan w:val="4"/>
            <w:tcBorders>
              <w:top w:val="single" w:sz="4" w:space="0" w:color="auto"/>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实际完成情况</w:t>
            </w:r>
          </w:p>
        </w:tc>
      </w:tr>
      <w:tr w:rsidR="008E1AF9" w:rsidRPr="008E1AF9" w:rsidTr="008E1AF9">
        <w:trPr>
          <w:gridAfter w:val="1"/>
          <w:wAfter w:w="460" w:type="dxa"/>
          <w:trHeight w:val="2288"/>
        </w:trPr>
        <w:tc>
          <w:tcPr>
            <w:tcW w:w="560" w:type="dxa"/>
            <w:vMerge/>
            <w:tcBorders>
              <w:top w:val="nil"/>
              <w:left w:val="single" w:sz="4" w:space="0" w:color="auto"/>
              <w:bottom w:val="single" w:sz="4" w:space="0" w:color="auto"/>
              <w:right w:val="single" w:sz="4" w:space="0" w:color="auto"/>
            </w:tcBorders>
            <w:vAlign w:val="center"/>
            <w:hideMark/>
          </w:tcPr>
          <w:p w:rsidR="008E1AF9" w:rsidRPr="008E1AF9" w:rsidRDefault="008E1AF9" w:rsidP="008E1AF9">
            <w:pPr>
              <w:widowControl/>
              <w:jc w:val="left"/>
              <w:rPr>
                <w:rFonts w:ascii="宋体" w:hAnsi="宋体" w:cs="宋体"/>
                <w:color w:val="000000"/>
                <w:kern w:val="0"/>
                <w:sz w:val="20"/>
                <w:szCs w:val="20"/>
              </w:rPr>
            </w:pPr>
          </w:p>
        </w:tc>
        <w:tc>
          <w:tcPr>
            <w:tcW w:w="8060" w:type="dxa"/>
            <w:gridSpan w:val="4"/>
            <w:tcBorders>
              <w:top w:val="single" w:sz="4" w:space="0" w:color="auto"/>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2024年完成承担对接上级机关事务管理部门相关工作，对局机关及下属单位提供综合服务保障；为各处室、分局、事业单位等临时事项提供综合服务保障；为局机关离退休工作、干部服务管理工作提供综合服务保障；承担集中办公管理、资产管理、机关及下属单位维护修缮等后勤服务保障任务。</w:t>
            </w:r>
            <w:proofErr w:type="gramStart"/>
            <w:r w:rsidRPr="008E1AF9">
              <w:rPr>
                <w:rFonts w:ascii="宋体" w:hAnsi="宋体" w:cs="宋体" w:hint="eastAsia"/>
                <w:color w:val="000000"/>
                <w:kern w:val="0"/>
                <w:sz w:val="20"/>
                <w:szCs w:val="20"/>
              </w:rPr>
              <w:t>承办市药监</w:t>
            </w:r>
            <w:proofErr w:type="gramEnd"/>
            <w:r w:rsidRPr="008E1AF9">
              <w:rPr>
                <w:rFonts w:ascii="宋体" w:hAnsi="宋体" w:cs="宋体" w:hint="eastAsia"/>
                <w:color w:val="000000"/>
                <w:kern w:val="0"/>
                <w:sz w:val="20"/>
                <w:szCs w:val="20"/>
              </w:rPr>
              <w:t>局交办的其他事项。提升服务质量，使综合保障工作得到进一步完善。确保相关工作顺利开展，工作人员正常履职。</w:t>
            </w:r>
          </w:p>
        </w:tc>
        <w:tc>
          <w:tcPr>
            <w:tcW w:w="5460" w:type="dxa"/>
            <w:gridSpan w:val="4"/>
            <w:tcBorders>
              <w:top w:val="single" w:sz="4" w:space="0" w:color="auto"/>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2024年已顺利完成对接上级机关事务管理部门的相关工作，顺利完成对局机关及下属单位提供的综合服务保障工作；为各处室、分局、事业单位等临时事项提供了有效的综合服务保障；并对局机关离退休工作、干部服务管理工作提供了高效的综合服务保障；顺利完成办公区集中办公管理、资产管理、机关及下属单位维护修缮等后勤服务保障任务。</w:t>
            </w:r>
          </w:p>
        </w:tc>
      </w:tr>
    </w:tbl>
    <w:p w:rsidR="00D4205F" w:rsidRDefault="00D4205F" w:rsidP="00D4205F"/>
    <w:p w:rsidR="008E1AF9" w:rsidRDefault="008E1AF9" w:rsidP="008E1AF9"/>
    <w:p w:rsidR="008E1AF9" w:rsidRPr="008E1AF9" w:rsidRDefault="008E1AF9" w:rsidP="008E1AF9"/>
    <w:p w:rsidR="008E1AF9" w:rsidRPr="008E1AF9" w:rsidRDefault="008E1AF9" w:rsidP="008E1AF9"/>
    <w:tbl>
      <w:tblPr>
        <w:tblW w:w="14080" w:type="dxa"/>
        <w:tblInd w:w="93" w:type="dxa"/>
        <w:tblLook w:val="04A0" w:firstRow="1" w:lastRow="0" w:firstColumn="1" w:lastColumn="0" w:noHBand="0" w:noVBand="1"/>
      </w:tblPr>
      <w:tblGrid>
        <w:gridCol w:w="560"/>
        <w:gridCol w:w="1240"/>
        <w:gridCol w:w="1540"/>
        <w:gridCol w:w="2480"/>
        <w:gridCol w:w="2800"/>
        <w:gridCol w:w="1700"/>
        <w:gridCol w:w="1160"/>
        <w:gridCol w:w="1240"/>
        <w:gridCol w:w="1360"/>
      </w:tblGrid>
      <w:tr w:rsidR="008E1AF9" w:rsidRPr="008E1AF9" w:rsidTr="008E1AF9">
        <w:trPr>
          <w:trHeight w:val="567"/>
        </w:trPr>
        <w:tc>
          <w:tcPr>
            <w:tcW w:w="560" w:type="dxa"/>
            <w:vMerge w:val="restart"/>
            <w:tcBorders>
              <w:top w:val="single" w:sz="4" w:space="0" w:color="auto"/>
              <w:left w:val="single" w:sz="4" w:space="0" w:color="auto"/>
              <w:bottom w:val="single" w:sz="4" w:space="0" w:color="auto"/>
              <w:right w:val="single" w:sz="4" w:space="0" w:color="auto"/>
            </w:tcBorders>
            <w:shd w:val="clear" w:color="auto" w:fill="auto"/>
            <w:textDirection w:val="tbRlV"/>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lastRenderedPageBreak/>
              <w:t>绩效指标</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一级指标</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二级指标</w:t>
            </w:r>
          </w:p>
        </w:tc>
        <w:tc>
          <w:tcPr>
            <w:tcW w:w="2480" w:type="dxa"/>
            <w:tcBorders>
              <w:top w:val="single" w:sz="4" w:space="0" w:color="auto"/>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三级指标</w:t>
            </w:r>
          </w:p>
        </w:tc>
        <w:tc>
          <w:tcPr>
            <w:tcW w:w="2800" w:type="dxa"/>
            <w:tcBorders>
              <w:top w:val="single" w:sz="4" w:space="0" w:color="auto"/>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年度指标值</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实际完成值</w:t>
            </w:r>
          </w:p>
        </w:tc>
        <w:tc>
          <w:tcPr>
            <w:tcW w:w="1160" w:type="dxa"/>
            <w:tcBorders>
              <w:top w:val="single" w:sz="4" w:space="0" w:color="auto"/>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分值</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得分</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偏差原因分析及改进措施</w:t>
            </w:r>
          </w:p>
        </w:tc>
      </w:tr>
      <w:tr w:rsidR="008E1AF9" w:rsidRPr="008E1AF9" w:rsidTr="008E1AF9">
        <w:trPr>
          <w:trHeight w:val="871"/>
        </w:trPr>
        <w:tc>
          <w:tcPr>
            <w:tcW w:w="560" w:type="dxa"/>
            <w:vMerge/>
            <w:tcBorders>
              <w:top w:val="single" w:sz="4" w:space="0" w:color="auto"/>
              <w:left w:val="single" w:sz="4" w:space="0" w:color="auto"/>
              <w:bottom w:val="single" w:sz="4" w:space="0" w:color="auto"/>
              <w:right w:val="single" w:sz="4" w:space="0" w:color="auto"/>
            </w:tcBorders>
            <w:vAlign w:val="center"/>
            <w:hideMark/>
          </w:tcPr>
          <w:p w:rsidR="008E1AF9" w:rsidRPr="008E1AF9" w:rsidRDefault="008E1AF9" w:rsidP="008E1AF9">
            <w:pPr>
              <w:widowControl/>
              <w:jc w:val="left"/>
              <w:rPr>
                <w:rFonts w:ascii="宋体" w:hAnsi="宋体" w:cs="宋体"/>
                <w:color w:val="000000"/>
                <w:kern w:val="0"/>
                <w:sz w:val="20"/>
                <w:szCs w:val="20"/>
              </w:rPr>
            </w:pPr>
          </w:p>
        </w:tc>
        <w:tc>
          <w:tcPr>
            <w:tcW w:w="1240" w:type="dxa"/>
            <w:vMerge w:val="restart"/>
            <w:tcBorders>
              <w:top w:val="nil"/>
              <w:left w:val="single" w:sz="4" w:space="0" w:color="auto"/>
              <w:bottom w:val="nil"/>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产出指标</w:t>
            </w:r>
          </w:p>
        </w:tc>
        <w:tc>
          <w:tcPr>
            <w:tcW w:w="1540" w:type="dxa"/>
            <w:tcBorders>
              <w:top w:val="nil"/>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数量指标</w:t>
            </w:r>
          </w:p>
        </w:tc>
        <w:tc>
          <w:tcPr>
            <w:tcW w:w="2480" w:type="dxa"/>
            <w:tcBorders>
              <w:top w:val="single" w:sz="4" w:space="0" w:color="auto"/>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办公和老干部活动设施设备</w:t>
            </w:r>
            <w:proofErr w:type="gramStart"/>
            <w:r w:rsidRPr="008E1AF9">
              <w:rPr>
                <w:rFonts w:ascii="宋体" w:hAnsi="宋体" w:cs="宋体" w:hint="eastAsia"/>
                <w:color w:val="000000"/>
                <w:kern w:val="0"/>
                <w:sz w:val="20"/>
                <w:szCs w:val="20"/>
              </w:rPr>
              <w:t>维修维保次数</w:t>
            </w:r>
            <w:proofErr w:type="gramEnd"/>
          </w:p>
        </w:tc>
        <w:tc>
          <w:tcPr>
            <w:tcW w:w="2800" w:type="dxa"/>
            <w:tcBorders>
              <w:top w:val="single" w:sz="4" w:space="0" w:color="auto"/>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≥3次</w:t>
            </w:r>
          </w:p>
        </w:tc>
        <w:tc>
          <w:tcPr>
            <w:tcW w:w="1700" w:type="dxa"/>
            <w:tcBorders>
              <w:top w:val="nil"/>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3次</w:t>
            </w:r>
          </w:p>
        </w:tc>
        <w:tc>
          <w:tcPr>
            <w:tcW w:w="1160" w:type="dxa"/>
            <w:tcBorders>
              <w:top w:val="nil"/>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20</w:t>
            </w:r>
          </w:p>
        </w:tc>
        <w:tc>
          <w:tcPr>
            <w:tcW w:w="1240" w:type="dxa"/>
            <w:tcBorders>
              <w:top w:val="nil"/>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20</w:t>
            </w:r>
          </w:p>
        </w:tc>
        <w:tc>
          <w:tcPr>
            <w:tcW w:w="1360" w:type="dxa"/>
            <w:tcBorders>
              <w:top w:val="nil"/>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left"/>
              <w:rPr>
                <w:rFonts w:ascii="宋体" w:hAnsi="宋体" w:cs="宋体"/>
                <w:kern w:val="0"/>
                <w:sz w:val="20"/>
                <w:szCs w:val="20"/>
              </w:rPr>
            </w:pPr>
            <w:r w:rsidRPr="008E1AF9">
              <w:rPr>
                <w:rFonts w:ascii="宋体" w:hAnsi="宋体" w:cs="宋体" w:hint="eastAsia"/>
                <w:kern w:val="0"/>
                <w:sz w:val="20"/>
                <w:szCs w:val="20"/>
              </w:rPr>
              <w:t xml:space="preserve">　</w:t>
            </w:r>
          </w:p>
        </w:tc>
      </w:tr>
      <w:tr w:rsidR="008E1AF9" w:rsidRPr="008E1AF9" w:rsidTr="008E1AF9">
        <w:trPr>
          <w:trHeight w:val="826"/>
        </w:trPr>
        <w:tc>
          <w:tcPr>
            <w:tcW w:w="560" w:type="dxa"/>
            <w:vMerge/>
            <w:tcBorders>
              <w:top w:val="single" w:sz="4" w:space="0" w:color="auto"/>
              <w:left w:val="single" w:sz="4" w:space="0" w:color="auto"/>
              <w:bottom w:val="single" w:sz="4" w:space="0" w:color="auto"/>
              <w:right w:val="single" w:sz="4" w:space="0" w:color="auto"/>
            </w:tcBorders>
            <w:vAlign w:val="center"/>
            <w:hideMark/>
          </w:tcPr>
          <w:p w:rsidR="008E1AF9" w:rsidRPr="008E1AF9" w:rsidRDefault="008E1AF9" w:rsidP="008E1AF9">
            <w:pPr>
              <w:widowControl/>
              <w:jc w:val="left"/>
              <w:rPr>
                <w:rFonts w:ascii="宋体" w:hAnsi="宋体" w:cs="宋体"/>
                <w:color w:val="000000"/>
                <w:kern w:val="0"/>
                <w:sz w:val="20"/>
                <w:szCs w:val="20"/>
              </w:rPr>
            </w:pPr>
          </w:p>
        </w:tc>
        <w:tc>
          <w:tcPr>
            <w:tcW w:w="1240" w:type="dxa"/>
            <w:vMerge/>
            <w:tcBorders>
              <w:top w:val="nil"/>
              <w:left w:val="single" w:sz="4" w:space="0" w:color="auto"/>
              <w:bottom w:val="nil"/>
              <w:right w:val="single" w:sz="4" w:space="0" w:color="auto"/>
            </w:tcBorders>
            <w:vAlign w:val="center"/>
            <w:hideMark/>
          </w:tcPr>
          <w:p w:rsidR="008E1AF9" w:rsidRPr="008E1AF9" w:rsidRDefault="008E1AF9" w:rsidP="008E1AF9">
            <w:pPr>
              <w:widowControl/>
              <w:jc w:val="left"/>
              <w:rPr>
                <w:rFonts w:ascii="宋体" w:hAnsi="宋体" w:cs="宋体"/>
                <w:color w:val="000000"/>
                <w:kern w:val="0"/>
                <w:sz w:val="20"/>
                <w:szCs w:val="20"/>
              </w:rPr>
            </w:pPr>
          </w:p>
        </w:tc>
        <w:tc>
          <w:tcPr>
            <w:tcW w:w="1540" w:type="dxa"/>
            <w:tcBorders>
              <w:top w:val="nil"/>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质量指标</w:t>
            </w:r>
          </w:p>
        </w:tc>
        <w:tc>
          <w:tcPr>
            <w:tcW w:w="2480" w:type="dxa"/>
            <w:tcBorders>
              <w:top w:val="single" w:sz="4" w:space="0" w:color="auto"/>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办公和老干部活动设施设备故障处理率</w:t>
            </w:r>
          </w:p>
        </w:tc>
        <w:tc>
          <w:tcPr>
            <w:tcW w:w="2800" w:type="dxa"/>
            <w:tcBorders>
              <w:top w:val="single" w:sz="4" w:space="0" w:color="auto"/>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≥95%</w:t>
            </w:r>
          </w:p>
        </w:tc>
        <w:tc>
          <w:tcPr>
            <w:tcW w:w="1700" w:type="dxa"/>
            <w:tcBorders>
              <w:top w:val="nil"/>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100%</w:t>
            </w:r>
          </w:p>
        </w:tc>
        <w:tc>
          <w:tcPr>
            <w:tcW w:w="1160" w:type="dxa"/>
            <w:tcBorders>
              <w:top w:val="nil"/>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20</w:t>
            </w:r>
          </w:p>
        </w:tc>
        <w:tc>
          <w:tcPr>
            <w:tcW w:w="1240" w:type="dxa"/>
            <w:tcBorders>
              <w:top w:val="nil"/>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20</w:t>
            </w:r>
          </w:p>
        </w:tc>
        <w:tc>
          <w:tcPr>
            <w:tcW w:w="1360" w:type="dxa"/>
            <w:tcBorders>
              <w:top w:val="nil"/>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left"/>
              <w:rPr>
                <w:rFonts w:ascii="宋体" w:hAnsi="宋体" w:cs="宋体"/>
                <w:kern w:val="0"/>
                <w:sz w:val="20"/>
                <w:szCs w:val="20"/>
              </w:rPr>
            </w:pPr>
            <w:r w:rsidRPr="008E1AF9">
              <w:rPr>
                <w:rFonts w:ascii="宋体" w:hAnsi="宋体" w:cs="宋体" w:hint="eastAsia"/>
                <w:kern w:val="0"/>
                <w:sz w:val="20"/>
                <w:szCs w:val="20"/>
              </w:rPr>
              <w:t xml:space="preserve">　</w:t>
            </w:r>
          </w:p>
        </w:tc>
      </w:tr>
      <w:tr w:rsidR="008E1AF9" w:rsidRPr="008E1AF9" w:rsidTr="008E1AF9">
        <w:trPr>
          <w:trHeight w:val="567"/>
        </w:trPr>
        <w:tc>
          <w:tcPr>
            <w:tcW w:w="560" w:type="dxa"/>
            <w:vMerge/>
            <w:tcBorders>
              <w:top w:val="single" w:sz="4" w:space="0" w:color="auto"/>
              <w:left w:val="single" w:sz="4" w:space="0" w:color="auto"/>
              <w:bottom w:val="single" w:sz="4" w:space="0" w:color="auto"/>
              <w:right w:val="single" w:sz="4" w:space="0" w:color="auto"/>
            </w:tcBorders>
            <w:vAlign w:val="center"/>
            <w:hideMark/>
          </w:tcPr>
          <w:p w:rsidR="008E1AF9" w:rsidRPr="008E1AF9" w:rsidRDefault="008E1AF9" w:rsidP="008E1AF9">
            <w:pPr>
              <w:widowControl/>
              <w:jc w:val="left"/>
              <w:rPr>
                <w:rFonts w:ascii="宋体" w:hAnsi="宋体" w:cs="宋体"/>
                <w:color w:val="000000"/>
                <w:kern w:val="0"/>
                <w:sz w:val="20"/>
                <w:szCs w:val="20"/>
              </w:rPr>
            </w:pPr>
          </w:p>
        </w:tc>
        <w:tc>
          <w:tcPr>
            <w:tcW w:w="1240" w:type="dxa"/>
            <w:vMerge/>
            <w:tcBorders>
              <w:top w:val="nil"/>
              <w:left w:val="single" w:sz="4" w:space="0" w:color="auto"/>
              <w:bottom w:val="nil"/>
              <w:right w:val="single" w:sz="4" w:space="0" w:color="auto"/>
            </w:tcBorders>
            <w:vAlign w:val="center"/>
            <w:hideMark/>
          </w:tcPr>
          <w:p w:rsidR="008E1AF9" w:rsidRPr="008E1AF9" w:rsidRDefault="008E1AF9" w:rsidP="008E1AF9">
            <w:pPr>
              <w:widowControl/>
              <w:jc w:val="left"/>
              <w:rPr>
                <w:rFonts w:ascii="宋体" w:hAnsi="宋体" w:cs="宋体"/>
                <w:color w:val="000000"/>
                <w:kern w:val="0"/>
                <w:sz w:val="20"/>
                <w:szCs w:val="20"/>
              </w:rPr>
            </w:pPr>
          </w:p>
        </w:tc>
        <w:tc>
          <w:tcPr>
            <w:tcW w:w="1540" w:type="dxa"/>
            <w:tcBorders>
              <w:top w:val="nil"/>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时效指标</w:t>
            </w:r>
          </w:p>
        </w:tc>
        <w:tc>
          <w:tcPr>
            <w:tcW w:w="2480" w:type="dxa"/>
            <w:tcBorders>
              <w:top w:val="single" w:sz="4" w:space="0" w:color="auto"/>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综合服务保障期</w:t>
            </w:r>
          </w:p>
        </w:tc>
        <w:tc>
          <w:tcPr>
            <w:tcW w:w="2800" w:type="dxa"/>
            <w:tcBorders>
              <w:top w:val="single" w:sz="4" w:space="0" w:color="auto"/>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=1年</w:t>
            </w:r>
          </w:p>
        </w:tc>
        <w:tc>
          <w:tcPr>
            <w:tcW w:w="1700" w:type="dxa"/>
            <w:tcBorders>
              <w:top w:val="nil"/>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1年</w:t>
            </w:r>
          </w:p>
        </w:tc>
        <w:tc>
          <w:tcPr>
            <w:tcW w:w="1160" w:type="dxa"/>
            <w:tcBorders>
              <w:top w:val="nil"/>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10</w:t>
            </w:r>
          </w:p>
        </w:tc>
        <w:tc>
          <w:tcPr>
            <w:tcW w:w="1240" w:type="dxa"/>
            <w:tcBorders>
              <w:top w:val="nil"/>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10</w:t>
            </w:r>
          </w:p>
        </w:tc>
        <w:tc>
          <w:tcPr>
            <w:tcW w:w="1360" w:type="dxa"/>
            <w:tcBorders>
              <w:top w:val="nil"/>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left"/>
              <w:rPr>
                <w:rFonts w:ascii="宋体" w:hAnsi="宋体" w:cs="宋体"/>
                <w:kern w:val="0"/>
                <w:sz w:val="20"/>
                <w:szCs w:val="20"/>
              </w:rPr>
            </w:pPr>
            <w:r w:rsidRPr="008E1AF9">
              <w:rPr>
                <w:rFonts w:ascii="宋体" w:hAnsi="宋体" w:cs="宋体" w:hint="eastAsia"/>
                <w:kern w:val="0"/>
                <w:sz w:val="20"/>
                <w:szCs w:val="20"/>
              </w:rPr>
              <w:t xml:space="preserve">　</w:t>
            </w:r>
          </w:p>
        </w:tc>
      </w:tr>
      <w:tr w:rsidR="008E1AF9" w:rsidRPr="008E1AF9" w:rsidTr="008E1AF9">
        <w:trPr>
          <w:trHeight w:val="567"/>
        </w:trPr>
        <w:tc>
          <w:tcPr>
            <w:tcW w:w="560" w:type="dxa"/>
            <w:vMerge/>
            <w:tcBorders>
              <w:top w:val="single" w:sz="4" w:space="0" w:color="auto"/>
              <w:left w:val="single" w:sz="4" w:space="0" w:color="auto"/>
              <w:bottom w:val="single" w:sz="4" w:space="0" w:color="auto"/>
              <w:right w:val="single" w:sz="4" w:space="0" w:color="auto"/>
            </w:tcBorders>
            <w:vAlign w:val="center"/>
            <w:hideMark/>
          </w:tcPr>
          <w:p w:rsidR="008E1AF9" w:rsidRPr="008E1AF9" w:rsidRDefault="008E1AF9" w:rsidP="008E1AF9">
            <w:pPr>
              <w:widowControl/>
              <w:jc w:val="left"/>
              <w:rPr>
                <w:rFonts w:ascii="宋体" w:hAnsi="宋体" w:cs="宋体"/>
                <w:color w:val="000000"/>
                <w:kern w:val="0"/>
                <w:sz w:val="20"/>
                <w:szCs w:val="20"/>
              </w:rPr>
            </w:pP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成本指标</w:t>
            </w:r>
          </w:p>
        </w:tc>
        <w:tc>
          <w:tcPr>
            <w:tcW w:w="1540" w:type="dxa"/>
            <w:tcBorders>
              <w:top w:val="nil"/>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经济成本指标</w:t>
            </w:r>
          </w:p>
        </w:tc>
        <w:tc>
          <w:tcPr>
            <w:tcW w:w="2480" w:type="dxa"/>
            <w:tcBorders>
              <w:top w:val="single" w:sz="4" w:space="0" w:color="auto"/>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培训成本</w:t>
            </w:r>
          </w:p>
        </w:tc>
        <w:tc>
          <w:tcPr>
            <w:tcW w:w="2800" w:type="dxa"/>
            <w:tcBorders>
              <w:top w:val="single" w:sz="4" w:space="0" w:color="auto"/>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 xml:space="preserve">≤550 元/人天           </w:t>
            </w:r>
          </w:p>
        </w:tc>
        <w:tc>
          <w:tcPr>
            <w:tcW w:w="1700" w:type="dxa"/>
            <w:tcBorders>
              <w:top w:val="nil"/>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550 元/人天</w:t>
            </w:r>
          </w:p>
        </w:tc>
        <w:tc>
          <w:tcPr>
            <w:tcW w:w="1160" w:type="dxa"/>
            <w:tcBorders>
              <w:top w:val="nil"/>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10</w:t>
            </w:r>
          </w:p>
        </w:tc>
        <w:tc>
          <w:tcPr>
            <w:tcW w:w="1240" w:type="dxa"/>
            <w:tcBorders>
              <w:top w:val="nil"/>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10</w:t>
            </w:r>
          </w:p>
        </w:tc>
        <w:tc>
          <w:tcPr>
            <w:tcW w:w="1360" w:type="dxa"/>
            <w:tcBorders>
              <w:top w:val="nil"/>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left"/>
              <w:rPr>
                <w:rFonts w:ascii="宋体" w:hAnsi="宋体" w:cs="宋体"/>
                <w:kern w:val="0"/>
                <w:sz w:val="20"/>
                <w:szCs w:val="20"/>
              </w:rPr>
            </w:pPr>
            <w:r w:rsidRPr="008E1AF9">
              <w:rPr>
                <w:rFonts w:ascii="宋体" w:hAnsi="宋体" w:cs="宋体" w:hint="eastAsia"/>
                <w:kern w:val="0"/>
                <w:sz w:val="20"/>
                <w:szCs w:val="20"/>
              </w:rPr>
              <w:t xml:space="preserve">　</w:t>
            </w:r>
          </w:p>
        </w:tc>
      </w:tr>
      <w:tr w:rsidR="008E1AF9" w:rsidRPr="008E1AF9" w:rsidTr="008E1AF9">
        <w:trPr>
          <w:trHeight w:val="848"/>
        </w:trPr>
        <w:tc>
          <w:tcPr>
            <w:tcW w:w="560" w:type="dxa"/>
            <w:vMerge/>
            <w:tcBorders>
              <w:top w:val="single" w:sz="4" w:space="0" w:color="auto"/>
              <w:left w:val="single" w:sz="4" w:space="0" w:color="auto"/>
              <w:bottom w:val="single" w:sz="4" w:space="0" w:color="auto"/>
              <w:right w:val="single" w:sz="4" w:space="0" w:color="auto"/>
            </w:tcBorders>
            <w:vAlign w:val="center"/>
            <w:hideMark/>
          </w:tcPr>
          <w:p w:rsidR="008E1AF9" w:rsidRPr="008E1AF9" w:rsidRDefault="008E1AF9" w:rsidP="008E1AF9">
            <w:pPr>
              <w:widowControl/>
              <w:jc w:val="left"/>
              <w:rPr>
                <w:rFonts w:ascii="宋体" w:hAnsi="宋体" w:cs="宋体"/>
                <w:color w:val="000000"/>
                <w:kern w:val="0"/>
                <w:sz w:val="20"/>
                <w:szCs w:val="20"/>
              </w:rPr>
            </w:pPr>
          </w:p>
        </w:tc>
        <w:tc>
          <w:tcPr>
            <w:tcW w:w="1240" w:type="dxa"/>
            <w:tcBorders>
              <w:top w:val="nil"/>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效益指标</w:t>
            </w:r>
          </w:p>
        </w:tc>
        <w:tc>
          <w:tcPr>
            <w:tcW w:w="1540" w:type="dxa"/>
            <w:tcBorders>
              <w:top w:val="nil"/>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社会效益指标</w:t>
            </w:r>
          </w:p>
        </w:tc>
        <w:tc>
          <w:tcPr>
            <w:tcW w:w="2480" w:type="dxa"/>
            <w:tcBorders>
              <w:top w:val="single" w:sz="4" w:space="0" w:color="auto"/>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提供后勤保障工作，确保机关及所属单位正常履职</w:t>
            </w:r>
          </w:p>
        </w:tc>
        <w:tc>
          <w:tcPr>
            <w:tcW w:w="2800" w:type="dxa"/>
            <w:tcBorders>
              <w:top w:val="single" w:sz="4" w:space="0" w:color="auto"/>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得到保障</w:t>
            </w:r>
          </w:p>
        </w:tc>
        <w:tc>
          <w:tcPr>
            <w:tcW w:w="1700" w:type="dxa"/>
            <w:tcBorders>
              <w:top w:val="nil"/>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得到有效保障</w:t>
            </w:r>
          </w:p>
        </w:tc>
        <w:tc>
          <w:tcPr>
            <w:tcW w:w="1160" w:type="dxa"/>
            <w:tcBorders>
              <w:top w:val="nil"/>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20</w:t>
            </w:r>
          </w:p>
        </w:tc>
        <w:tc>
          <w:tcPr>
            <w:tcW w:w="1240" w:type="dxa"/>
            <w:tcBorders>
              <w:top w:val="nil"/>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20</w:t>
            </w:r>
          </w:p>
        </w:tc>
        <w:tc>
          <w:tcPr>
            <w:tcW w:w="1360" w:type="dxa"/>
            <w:tcBorders>
              <w:top w:val="nil"/>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left"/>
              <w:rPr>
                <w:rFonts w:ascii="宋体" w:hAnsi="宋体" w:cs="宋体"/>
                <w:kern w:val="0"/>
                <w:sz w:val="20"/>
                <w:szCs w:val="20"/>
              </w:rPr>
            </w:pPr>
            <w:r w:rsidRPr="008E1AF9">
              <w:rPr>
                <w:rFonts w:ascii="宋体" w:hAnsi="宋体" w:cs="宋体" w:hint="eastAsia"/>
                <w:kern w:val="0"/>
                <w:sz w:val="20"/>
                <w:szCs w:val="20"/>
              </w:rPr>
              <w:t xml:space="preserve">　</w:t>
            </w:r>
          </w:p>
        </w:tc>
      </w:tr>
      <w:tr w:rsidR="008E1AF9" w:rsidRPr="008E1AF9" w:rsidTr="008E1AF9">
        <w:trPr>
          <w:trHeight w:val="989"/>
        </w:trPr>
        <w:tc>
          <w:tcPr>
            <w:tcW w:w="560" w:type="dxa"/>
            <w:vMerge/>
            <w:tcBorders>
              <w:top w:val="single" w:sz="4" w:space="0" w:color="auto"/>
              <w:left w:val="single" w:sz="4" w:space="0" w:color="auto"/>
              <w:bottom w:val="single" w:sz="4" w:space="0" w:color="auto"/>
              <w:right w:val="single" w:sz="4" w:space="0" w:color="auto"/>
            </w:tcBorders>
            <w:vAlign w:val="center"/>
            <w:hideMark/>
          </w:tcPr>
          <w:p w:rsidR="008E1AF9" w:rsidRPr="008E1AF9" w:rsidRDefault="008E1AF9" w:rsidP="008E1AF9">
            <w:pPr>
              <w:widowControl/>
              <w:jc w:val="left"/>
              <w:rPr>
                <w:rFonts w:ascii="宋体" w:hAnsi="宋体" w:cs="宋体"/>
                <w:color w:val="000000"/>
                <w:kern w:val="0"/>
                <w:sz w:val="20"/>
                <w:szCs w:val="20"/>
              </w:rPr>
            </w:pPr>
          </w:p>
        </w:tc>
        <w:tc>
          <w:tcPr>
            <w:tcW w:w="1240" w:type="dxa"/>
            <w:tcBorders>
              <w:top w:val="nil"/>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满意度指标</w:t>
            </w:r>
          </w:p>
        </w:tc>
        <w:tc>
          <w:tcPr>
            <w:tcW w:w="1540" w:type="dxa"/>
            <w:tcBorders>
              <w:top w:val="nil"/>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服务对象满意度指标</w:t>
            </w:r>
          </w:p>
        </w:tc>
        <w:tc>
          <w:tcPr>
            <w:tcW w:w="2480" w:type="dxa"/>
            <w:tcBorders>
              <w:top w:val="nil"/>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局机关及所属事业单位服务满意度</w:t>
            </w:r>
          </w:p>
        </w:tc>
        <w:tc>
          <w:tcPr>
            <w:tcW w:w="2800" w:type="dxa"/>
            <w:tcBorders>
              <w:top w:val="single" w:sz="4" w:space="0" w:color="auto"/>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≥95%</w:t>
            </w:r>
          </w:p>
        </w:tc>
        <w:tc>
          <w:tcPr>
            <w:tcW w:w="1700" w:type="dxa"/>
            <w:tcBorders>
              <w:top w:val="nil"/>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100</w:t>
            </w:r>
          </w:p>
        </w:tc>
        <w:tc>
          <w:tcPr>
            <w:tcW w:w="1160" w:type="dxa"/>
            <w:tcBorders>
              <w:top w:val="nil"/>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10</w:t>
            </w:r>
          </w:p>
        </w:tc>
        <w:tc>
          <w:tcPr>
            <w:tcW w:w="1240" w:type="dxa"/>
            <w:tcBorders>
              <w:top w:val="nil"/>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color w:val="000000"/>
                <w:kern w:val="0"/>
                <w:sz w:val="20"/>
                <w:szCs w:val="20"/>
              </w:rPr>
            </w:pPr>
            <w:r w:rsidRPr="008E1AF9">
              <w:rPr>
                <w:rFonts w:ascii="宋体" w:hAnsi="宋体" w:cs="宋体" w:hint="eastAsia"/>
                <w:color w:val="000000"/>
                <w:kern w:val="0"/>
                <w:sz w:val="20"/>
                <w:szCs w:val="20"/>
              </w:rPr>
              <w:t>10</w:t>
            </w:r>
          </w:p>
        </w:tc>
        <w:tc>
          <w:tcPr>
            <w:tcW w:w="1360" w:type="dxa"/>
            <w:tcBorders>
              <w:top w:val="nil"/>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left"/>
              <w:rPr>
                <w:rFonts w:ascii="宋体" w:hAnsi="宋体" w:cs="宋体"/>
                <w:kern w:val="0"/>
                <w:sz w:val="20"/>
                <w:szCs w:val="20"/>
              </w:rPr>
            </w:pPr>
            <w:r w:rsidRPr="008E1AF9">
              <w:rPr>
                <w:rFonts w:ascii="宋体" w:hAnsi="宋体" w:cs="宋体" w:hint="eastAsia"/>
                <w:kern w:val="0"/>
                <w:sz w:val="20"/>
                <w:szCs w:val="20"/>
              </w:rPr>
              <w:t xml:space="preserve">　</w:t>
            </w:r>
          </w:p>
        </w:tc>
      </w:tr>
      <w:tr w:rsidR="008E1AF9" w:rsidRPr="008E1AF9" w:rsidTr="008E1AF9">
        <w:trPr>
          <w:trHeight w:val="567"/>
        </w:trPr>
        <w:tc>
          <w:tcPr>
            <w:tcW w:w="1032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8E1AF9" w:rsidRPr="008E1AF9" w:rsidRDefault="008E1AF9" w:rsidP="008E1AF9">
            <w:pPr>
              <w:widowControl/>
              <w:jc w:val="center"/>
              <w:rPr>
                <w:rFonts w:ascii="宋体" w:hAnsi="宋体" w:cs="宋体"/>
                <w:b/>
                <w:bCs/>
                <w:color w:val="000000"/>
                <w:kern w:val="0"/>
                <w:sz w:val="20"/>
                <w:szCs w:val="20"/>
              </w:rPr>
            </w:pPr>
            <w:r w:rsidRPr="008E1AF9">
              <w:rPr>
                <w:rFonts w:ascii="宋体" w:hAnsi="宋体" w:cs="宋体" w:hint="eastAsia"/>
                <w:b/>
                <w:bCs/>
                <w:color w:val="000000"/>
                <w:kern w:val="0"/>
                <w:sz w:val="20"/>
                <w:szCs w:val="20"/>
              </w:rPr>
              <w:t>总分</w:t>
            </w:r>
          </w:p>
        </w:tc>
        <w:tc>
          <w:tcPr>
            <w:tcW w:w="1160" w:type="dxa"/>
            <w:tcBorders>
              <w:top w:val="nil"/>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right"/>
              <w:rPr>
                <w:rFonts w:ascii="宋体" w:hAnsi="宋体" w:cs="宋体"/>
                <w:b/>
                <w:bCs/>
                <w:color w:val="000000"/>
                <w:kern w:val="0"/>
                <w:sz w:val="20"/>
                <w:szCs w:val="20"/>
              </w:rPr>
            </w:pPr>
            <w:r w:rsidRPr="008E1AF9">
              <w:rPr>
                <w:rFonts w:ascii="宋体" w:hAnsi="宋体" w:cs="宋体" w:hint="eastAsia"/>
                <w:b/>
                <w:bCs/>
                <w:color w:val="000000"/>
                <w:kern w:val="0"/>
                <w:sz w:val="20"/>
                <w:szCs w:val="20"/>
              </w:rPr>
              <w:t xml:space="preserve">100.00 </w:t>
            </w:r>
          </w:p>
        </w:tc>
        <w:tc>
          <w:tcPr>
            <w:tcW w:w="1240" w:type="dxa"/>
            <w:tcBorders>
              <w:top w:val="nil"/>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center"/>
              <w:rPr>
                <w:rFonts w:ascii="宋体" w:hAnsi="宋体" w:cs="宋体"/>
                <w:b/>
                <w:bCs/>
                <w:color w:val="000000"/>
                <w:kern w:val="0"/>
                <w:sz w:val="20"/>
                <w:szCs w:val="20"/>
              </w:rPr>
            </w:pPr>
            <w:r w:rsidRPr="008E1AF9">
              <w:rPr>
                <w:rFonts w:ascii="宋体" w:hAnsi="宋体" w:cs="宋体" w:hint="eastAsia"/>
                <w:b/>
                <w:bCs/>
                <w:color w:val="000000"/>
                <w:kern w:val="0"/>
                <w:sz w:val="20"/>
                <w:szCs w:val="20"/>
              </w:rPr>
              <w:t xml:space="preserve">95.22 </w:t>
            </w:r>
          </w:p>
        </w:tc>
        <w:tc>
          <w:tcPr>
            <w:tcW w:w="1360" w:type="dxa"/>
            <w:tcBorders>
              <w:top w:val="nil"/>
              <w:left w:val="nil"/>
              <w:bottom w:val="single" w:sz="4" w:space="0" w:color="auto"/>
              <w:right w:val="single" w:sz="4" w:space="0" w:color="auto"/>
            </w:tcBorders>
            <w:shd w:val="clear" w:color="auto" w:fill="auto"/>
            <w:vAlign w:val="center"/>
            <w:hideMark/>
          </w:tcPr>
          <w:p w:rsidR="008E1AF9" w:rsidRPr="008E1AF9" w:rsidRDefault="008E1AF9" w:rsidP="008E1AF9">
            <w:pPr>
              <w:widowControl/>
              <w:jc w:val="left"/>
              <w:rPr>
                <w:rFonts w:ascii="宋体" w:hAnsi="宋体" w:cs="宋体"/>
                <w:b/>
                <w:bCs/>
                <w:color w:val="000000"/>
                <w:kern w:val="0"/>
                <w:sz w:val="20"/>
                <w:szCs w:val="20"/>
              </w:rPr>
            </w:pPr>
            <w:r w:rsidRPr="008E1AF9">
              <w:rPr>
                <w:rFonts w:ascii="宋体" w:hAnsi="宋体" w:cs="宋体" w:hint="eastAsia"/>
                <w:b/>
                <w:bCs/>
                <w:color w:val="000000"/>
                <w:kern w:val="0"/>
                <w:sz w:val="20"/>
                <w:szCs w:val="20"/>
              </w:rPr>
              <w:t xml:space="preserve">　</w:t>
            </w:r>
          </w:p>
        </w:tc>
      </w:tr>
    </w:tbl>
    <w:p w:rsidR="008E1AF9" w:rsidRPr="008E1AF9" w:rsidRDefault="008E1AF9" w:rsidP="008E1AF9"/>
    <w:p w:rsidR="008E1AF9" w:rsidRPr="008E1AF9" w:rsidRDefault="008E1AF9" w:rsidP="008E1AF9"/>
    <w:sectPr w:rsidR="008E1AF9" w:rsidRPr="008E1AF9">
      <w:footerReference w:type="even" r:id="rId12"/>
      <w:footerReference w:type="default" r:id="rId13"/>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30C8" w:rsidRDefault="008630C8">
      <w:r>
        <w:separator/>
      </w:r>
    </w:p>
  </w:endnote>
  <w:endnote w:type="continuationSeparator" w:id="0">
    <w:p w:rsidR="008630C8" w:rsidRDefault="008630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54E" w:rsidRDefault="003043F0">
    <w:pPr>
      <w:pStyle w:val="a7"/>
      <w:framePr w:wrap="around" w:vAnchor="text" w:hAnchor="margin" w:xAlign="center" w:y="1"/>
      <w:rPr>
        <w:rStyle w:val="ab"/>
      </w:rPr>
    </w:pPr>
    <w:r>
      <w:fldChar w:fldCharType="begin"/>
    </w:r>
    <w:r>
      <w:rPr>
        <w:rStyle w:val="ab"/>
      </w:rPr>
      <w:instrText xml:space="preserve">PAGE  </w:instrText>
    </w:r>
    <w:r>
      <w:fldChar w:fldCharType="separate"/>
    </w:r>
    <w:r w:rsidR="004A53C3">
      <w:rPr>
        <w:rStyle w:val="ab"/>
        <w:noProof/>
      </w:rPr>
      <w:t>3</w:t>
    </w:r>
    <w:r>
      <w:fldChar w:fldCharType="end"/>
    </w:r>
  </w:p>
  <w:p w:rsidR="00C9454E" w:rsidRDefault="00C9454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54E" w:rsidRDefault="003043F0">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C9454E" w:rsidRDefault="00C9454E">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54E" w:rsidRDefault="003043F0">
    <w:pPr>
      <w:pStyle w:val="a7"/>
      <w:framePr w:wrap="around" w:vAnchor="text" w:hAnchor="margin" w:xAlign="center" w:y="1"/>
      <w:rPr>
        <w:rStyle w:val="ab"/>
      </w:rPr>
    </w:pPr>
    <w:r>
      <w:fldChar w:fldCharType="begin"/>
    </w:r>
    <w:r>
      <w:rPr>
        <w:rStyle w:val="ab"/>
      </w:rPr>
      <w:instrText xml:space="preserve">PAGE  </w:instrText>
    </w:r>
    <w:r>
      <w:fldChar w:fldCharType="separate"/>
    </w:r>
    <w:r w:rsidR="00BF14B3">
      <w:rPr>
        <w:rStyle w:val="ab"/>
        <w:noProof/>
      </w:rPr>
      <w:t>15</w:t>
    </w:r>
    <w:r>
      <w:fldChar w:fldCharType="end"/>
    </w:r>
  </w:p>
  <w:p w:rsidR="00C9454E" w:rsidRDefault="00C9454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30C8" w:rsidRDefault="008630C8">
      <w:r>
        <w:separator/>
      </w:r>
    </w:p>
  </w:footnote>
  <w:footnote w:type="continuationSeparator" w:id="0">
    <w:p w:rsidR="008630C8" w:rsidRDefault="008630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14E45"/>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675A6"/>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570A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43F0"/>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086"/>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A53C3"/>
    <w:rsid w:val="004B0003"/>
    <w:rsid w:val="004C020A"/>
    <w:rsid w:val="004C03A3"/>
    <w:rsid w:val="004C44B8"/>
    <w:rsid w:val="004C7629"/>
    <w:rsid w:val="004D0D5D"/>
    <w:rsid w:val="004E27DD"/>
    <w:rsid w:val="004E3350"/>
    <w:rsid w:val="004E4EBE"/>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3D3D"/>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190B"/>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53B7"/>
    <w:rsid w:val="007670B2"/>
    <w:rsid w:val="00771795"/>
    <w:rsid w:val="00774476"/>
    <w:rsid w:val="00774925"/>
    <w:rsid w:val="00777A39"/>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30C8"/>
    <w:rsid w:val="008655DC"/>
    <w:rsid w:val="0086732D"/>
    <w:rsid w:val="00870183"/>
    <w:rsid w:val="00875726"/>
    <w:rsid w:val="00877F10"/>
    <w:rsid w:val="0088048B"/>
    <w:rsid w:val="0088225D"/>
    <w:rsid w:val="00882F8D"/>
    <w:rsid w:val="008830D8"/>
    <w:rsid w:val="00884FB0"/>
    <w:rsid w:val="008853A5"/>
    <w:rsid w:val="008944DA"/>
    <w:rsid w:val="00894D78"/>
    <w:rsid w:val="008A6A18"/>
    <w:rsid w:val="008B033F"/>
    <w:rsid w:val="008B4003"/>
    <w:rsid w:val="008B46C2"/>
    <w:rsid w:val="008B7443"/>
    <w:rsid w:val="008C179E"/>
    <w:rsid w:val="008C2379"/>
    <w:rsid w:val="008C4FF7"/>
    <w:rsid w:val="008C5C4C"/>
    <w:rsid w:val="008C7056"/>
    <w:rsid w:val="008C706D"/>
    <w:rsid w:val="008D3145"/>
    <w:rsid w:val="008E1A54"/>
    <w:rsid w:val="008E1AF9"/>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68CE"/>
    <w:rsid w:val="0096716C"/>
    <w:rsid w:val="009672B2"/>
    <w:rsid w:val="00971C66"/>
    <w:rsid w:val="00972363"/>
    <w:rsid w:val="0098419C"/>
    <w:rsid w:val="009843EF"/>
    <w:rsid w:val="009867F2"/>
    <w:rsid w:val="00991347"/>
    <w:rsid w:val="00996018"/>
    <w:rsid w:val="009961B2"/>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0CFA"/>
    <w:rsid w:val="00B01BD1"/>
    <w:rsid w:val="00B05903"/>
    <w:rsid w:val="00B12C7A"/>
    <w:rsid w:val="00B12E10"/>
    <w:rsid w:val="00B22BC3"/>
    <w:rsid w:val="00B25865"/>
    <w:rsid w:val="00B272B6"/>
    <w:rsid w:val="00B2771B"/>
    <w:rsid w:val="00B336E9"/>
    <w:rsid w:val="00B33AE5"/>
    <w:rsid w:val="00B35BE5"/>
    <w:rsid w:val="00B46965"/>
    <w:rsid w:val="00B47E5A"/>
    <w:rsid w:val="00B5287C"/>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4A99"/>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BF14B3"/>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454E"/>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204D"/>
    <w:rsid w:val="00D25548"/>
    <w:rsid w:val="00D2601F"/>
    <w:rsid w:val="00D27759"/>
    <w:rsid w:val="00D30028"/>
    <w:rsid w:val="00D325D3"/>
    <w:rsid w:val="00D408D6"/>
    <w:rsid w:val="00D4205F"/>
    <w:rsid w:val="00D511DD"/>
    <w:rsid w:val="00D55C2A"/>
    <w:rsid w:val="00D571C1"/>
    <w:rsid w:val="00D602F4"/>
    <w:rsid w:val="00D6457E"/>
    <w:rsid w:val="00D67F36"/>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1B9E"/>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67A2FF9"/>
    <w:rsid w:val="18581C69"/>
    <w:rsid w:val="1AEC0734"/>
    <w:rsid w:val="1DEF20B0"/>
    <w:rsid w:val="214243FA"/>
    <w:rsid w:val="21AD613C"/>
    <w:rsid w:val="22467189"/>
    <w:rsid w:val="257A14F5"/>
    <w:rsid w:val="27196C26"/>
    <w:rsid w:val="29EF086F"/>
    <w:rsid w:val="2EFFE297"/>
    <w:rsid w:val="301437CA"/>
    <w:rsid w:val="349D1F0A"/>
    <w:rsid w:val="34DD0473"/>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60A54109"/>
    <w:rsid w:val="61D01CDF"/>
    <w:rsid w:val="64C0607C"/>
    <w:rsid w:val="65756C86"/>
    <w:rsid w:val="674D385B"/>
    <w:rsid w:val="676F09E1"/>
    <w:rsid w:val="71793A80"/>
    <w:rsid w:val="7357290B"/>
    <w:rsid w:val="798524E4"/>
    <w:rsid w:val="7A7F1C49"/>
    <w:rsid w:val="7B5B7AE6"/>
    <w:rsid w:val="7B7B6628"/>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427723">
      <w:bodyDiv w:val="1"/>
      <w:marLeft w:val="0"/>
      <w:marRight w:val="0"/>
      <w:marTop w:val="0"/>
      <w:marBottom w:val="0"/>
      <w:divBdr>
        <w:top w:val="none" w:sz="0" w:space="0" w:color="auto"/>
        <w:left w:val="none" w:sz="0" w:space="0" w:color="auto"/>
        <w:bottom w:val="none" w:sz="0" w:space="0" w:color="auto"/>
        <w:right w:val="none" w:sz="0" w:space="0" w:color="auto"/>
      </w:divBdr>
    </w:div>
    <w:div w:id="263416975">
      <w:bodyDiv w:val="1"/>
      <w:marLeft w:val="0"/>
      <w:marRight w:val="0"/>
      <w:marTop w:val="0"/>
      <w:marBottom w:val="0"/>
      <w:divBdr>
        <w:top w:val="none" w:sz="0" w:space="0" w:color="auto"/>
        <w:left w:val="none" w:sz="0" w:space="0" w:color="auto"/>
        <w:bottom w:val="none" w:sz="0" w:space="0" w:color="auto"/>
        <w:right w:val="none" w:sz="0" w:space="0" w:color="auto"/>
      </w:divBdr>
    </w:div>
    <w:div w:id="378361366">
      <w:bodyDiv w:val="1"/>
      <w:marLeft w:val="0"/>
      <w:marRight w:val="0"/>
      <w:marTop w:val="0"/>
      <w:marBottom w:val="0"/>
      <w:divBdr>
        <w:top w:val="none" w:sz="0" w:space="0" w:color="auto"/>
        <w:left w:val="none" w:sz="0" w:space="0" w:color="auto"/>
        <w:bottom w:val="none" w:sz="0" w:space="0" w:color="auto"/>
        <w:right w:val="none" w:sz="0" w:space="0" w:color="auto"/>
      </w:divBdr>
    </w:div>
    <w:div w:id="648704243">
      <w:bodyDiv w:val="1"/>
      <w:marLeft w:val="0"/>
      <w:marRight w:val="0"/>
      <w:marTop w:val="0"/>
      <w:marBottom w:val="0"/>
      <w:divBdr>
        <w:top w:val="none" w:sz="0" w:space="0" w:color="auto"/>
        <w:left w:val="none" w:sz="0" w:space="0" w:color="auto"/>
        <w:bottom w:val="none" w:sz="0" w:space="0" w:color="auto"/>
        <w:right w:val="none" w:sz="0" w:space="0" w:color="auto"/>
      </w:divBdr>
    </w:div>
    <w:div w:id="1009865851">
      <w:bodyDiv w:val="1"/>
      <w:marLeft w:val="0"/>
      <w:marRight w:val="0"/>
      <w:marTop w:val="0"/>
      <w:marBottom w:val="0"/>
      <w:divBdr>
        <w:top w:val="none" w:sz="0" w:space="0" w:color="auto"/>
        <w:left w:val="none" w:sz="0" w:space="0" w:color="auto"/>
        <w:bottom w:val="none" w:sz="0" w:space="0" w:color="auto"/>
        <w:right w:val="none" w:sz="0" w:space="0" w:color="auto"/>
      </w:divBdr>
    </w:div>
    <w:div w:id="1437599342">
      <w:bodyDiv w:val="1"/>
      <w:marLeft w:val="0"/>
      <w:marRight w:val="0"/>
      <w:marTop w:val="0"/>
      <w:marBottom w:val="0"/>
      <w:divBdr>
        <w:top w:val="none" w:sz="0" w:space="0" w:color="auto"/>
        <w:left w:val="none" w:sz="0" w:space="0" w:color="auto"/>
        <w:bottom w:val="none" w:sz="0" w:space="0" w:color="auto"/>
        <w:right w:val="none" w:sz="0" w:space="0" w:color="auto"/>
      </w:divBdr>
    </w:div>
    <w:div w:id="1530949994">
      <w:bodyDiv w:val="1"/>
      <w:marLeft w:val="0"/>
      <w:marRight w:val="0"/>
      <w:marTop w:val="0"/>
      <w:marBottom w:val="0"/>
      <w:divBdr>
        <w:top w:val="none" w:sz="0" w:space="0" w:color="auto"/>
        <w:left w:val="none" w:sz="0" w:space="0" w:color="auto"/>
        <w:bottom w:val="none" w:sz="0" w:space="0" w:color="auto"/>
        <w:right w:val="none" w:sz="0" w:space="0" w:color="auto"/>
      </w:divBdr>
    </w:div>
    <w:div w:id="1691295731">
      <w:bodyDiv w:val="1"/>
      <w:marLeft w:val="0"/>
      <w:marRight w:val="0"/>
      <w:marTop w:val="0"/>
      <w:marBottom w:val="0"/>
      <w:divBdr>
        <w:top w:val="none" w:sz="0" w:space="0" w:color="auto"/>
        <w:left w:val="none" w:sz="0" w:space="0" w:color="auto"/>
        <w:bottom w:val="none" w:sz="0" w:space="0" w:color="auto"/>
        <w:right w:val="none" w:sz="0" w:space="0" w:color="auto"/>
      </w:divBdr>
    </w:div>
    <w:div w:id="18313689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_rels/chart2.xml.rels><?xml version="1.0" encoding="UTF-8" standalone="yes"?>
<Relationships xmlns="http://schemas.openxmlformats.org/package/2006/relationships"><Relationship Id="rId1" Type="http://schemas.openxmlformats.org/officeDocument/2006/relationships/oleObject" Target="/home/user/Desktop/&#26032;&#24314;Excel&#25991;&#26723;.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dPt>
          <c:dPt>
            <c:idx val="1"/>
            <c:bubble3D val="0"/>
          </c:dPt>
          <c:dPt>
            <c:idx val="2"/>
            <c:bubble3D val="0"/>
          </c:dPt>
          <c:dPt>
            <c:idx val="3"/>
            <c:bubble3D val="0"/>
          </c:dPt>
          <c:dPt>
            <c:idx val="4"/>
            <c:bubble3D val="0"/>
          </c:dPt>
          <c:dPt>
            <c:idx val="5"/>
            <c:bubble3D val="0"/>
          </c:dPt>
          <c:dLbls>
            <c:dLbl>
              <c:idx val="1"/>
              <c:delete val="1"/>
            </c:dLbl>
            <c:dLbl>
              <c:idx val="2"/>
              <c:delete val="1"/>
            </c:dLbl>
            <c:dLbl>
              <c:idx val="3"/>
              <c:delete val="1"/>
            </c:dLbl>
            <c:dLbl>
              <c:idx val="4"/>
              <c:delete val="1"/>
            </c:dLbl>
            <c:dLbl>
              <c:idx val="5"/>
              <c:delete val="1"/>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666.57</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egendEntry>
        <c:idx val="1"/>
        <c:delete val="1"/>
      </c:legendEntry>
      <c:legendEntry>
        <c:idx val="2"/>
        <c:delete val="1"/>
      </c:legendEntry>
      <c:legendEntry>
        <c:idx val="3"/>
        <c:delete val="1"/>
      </c:legendEntry>
      <c:legendEntry>
        <c:idx val="4"/>
        <c:delete val="1"/>
      </c:legendEntry>
      <c:legendEntry>
        <c:idx val="5"/>
        <c:delete val="1"/>
      </c:legendEntry>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delete val="1"/>
              <c:extLst>
                <c:ext xmlns:c15="http://schemas.microsoft.com/office/drawing/2012/chart" uri="{CE6537A1-D6FC-4f65-9D91-7224C49458BB}">
                  <c15:layout/>
                </c:ext>
              </c:extLst>
            </c:dLbl>
            <c:dLbl>
              <c:idx val="3"/>
              <c:delete val="1"/>
            </c:dLbl>
            <c:dLbl>
              <c:idx val="4"/>
              <c:delete val="1"/>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493.17</c:v>
                </c:pt>
                <c:pt idx="1">
                  <c:v>263.33</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delete val="1"/>
      </c:legendEntry>
      <c:legendEntry>
        <c:idx val="3"/>
        <c:delete val="1"/>
      </c:legendEntry>
      <c:legendEntry>
        <c:idx val="4"/>
        <c:delete val="1"/>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94F99C-44EB-4F54-9A8B-14AD02387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15</Pages>
  <Words>889</Words>
  <Characters>5073</Characters>
  <Application>Microsoft Office Word</Application>
  <DocSecurity>0</DocSecurity>
  <Lines>42</Lines>
  <Paragraphs>11</Paragraphs>
  <ScaleCrop>false</ScaleCrop>
  <Company/>
  <LinksUpToDate>false</LinksUpToDate>
  <CharactersWithSpaces>5951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subject/>
  <dc:creator>常程</dc:creator>
  <cp:keywords/>
  <dc:description/>
  <cp:lastModifiedBy>niyuanhui</cp:lastModifiedBy>
  <cp:revision>13</cp:revision>
  <cp:lastPrinted>2020-08-07T11:39:00Z</cp:lastPrinted>
  <dcterms:created xsi:type="dcterms:W3CDTF">2017-07-11T15:16:00Z</dcterms:created>
  <dcterms:modified xsi:type="dcterms:W3CDTF">2025-09-11T02:23:00Z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