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CED" w:rsidRDefault="00681CED">
      <w:pPr>
        <w:jc w:val="center"/>
        <w:rPr>
          <w:rFonts w:ascii="仿宋_GB2312" w:eastAsia="仿宋_GB2312" w:hint="eastAsia"/>
          <w:b/>
          <w:sz w:val="32"/>
          <w:szCs w:val="32"/>
        </w:rPr>
      </w:pPr>
    </w:p>
    <w:p w:rsidR="00681CED" w:rsidRDefault="00681CED">
      <w:pPr>
        <w:jc w:val="center"/>
        <w:rPr>
          <w:rFonts w:ascii="黑体" w:eastAsia="黑体"/>
          <w:sz w:val="72"/>
          <w:szCs w:val="72"/>
        </w:rPr>
      </w:pPr>
    </w:p>
    <w:p w:rsidR="00681CED" w:rsidRDefault="00681CED">
      <w:pPr>
        <w:jc w:val="center"/>
        <w:rPr>
          <w:rFonts w:ascii="黑体" w:eastAsia="黑体"/>
          <w:sz w:val="72"/>
          <w:szCs w:val="72"/>
        </w:rPr>
      </w:pPr>
    </w:p>
    <w:p w:rsidR="00681CED" w:rsidRDefault="00681CED">
      <w:pPr>
        <w:jc w:val="center"/>
        <w:rPr>
          <w:rFonts w:ascii="黑体" w:eastAsia="黑体"/>
          <w:sz w:val="72"/>
          <w:szCs w:val="72"/>
        </w:rPr>
      </w:pPr>
    </w:p>
    <w:p w:rsidR="00681CED" w:rsidRDefault="000E5CF5">
      <w:pPr>
        <w:jc w:val="center"/>
        <w:rPr>
          <w:rFonts w:ascii="黑体" w:eastAsia="黑体"/>
          <w:sz w:val="72"/>
          <w:szCs w:val="72"/>
        </w:rPr>
      </w:pPr>
      <w:r>
        <w:rPr>
          <w:rFonts w:ascii="黑体" w:eastAsia="黑体" w:hint="eastAsia"/>
          <w:sz w:val="72"/>
          <w:szCs w:val="72"/>
        </w:rPr>
        <w:t>2024</w:t>
      </w:r>
      <w:r>
        <w:rPr>
          <w:rFonts w:ascii="黑体" w:eastAsia="黑体" w:hint="eastAsia"/>
          <w:sz w:val="72"/>
          <w:szCs w:val="72"/>
        </w:rPr>
        <w:t>年度单位决算（公开</w:t>
      </w:r>
      <w:r>
        <w:rPr>
          <w:rFonts w:ascii="黑体" w:eastAsia="黑体"/>
          <w:sz w:val="72"/>
          <w:szCs w:val="72"/>
        </w:rPr>
        <w:t>）</w:t>
      </w:r>
    </w:p>
    <w:p w:rsidR="00681CED" w:rsidRDefault="00681CED">
      <w:pPr>
        <w:jc w:val="center"/>
        <w:rPr>
          <w:rFonts w:ascii="黑体" w:eastAsia="黑体"/>
          <w:sz w:val="52"/>
          <w:szCs w:val="52"/>
        </w:rPr>
      </w:pPr>
    </w:p>
    <w:p w:rsidR="00681CED" w:rsidRDefault="00681CED">
      <w:pPr>
        <w:jc w:val="center"/>
        <w:rPr>
          <w:rFonts w:ascii="黑体" w:eastAsia="黑体"/>
          <w:sz w:val="52"/>
          <w:szCs w:val="52"/>
        </w:rPr>
      </w:pPr>
    </w:p>
    <w:p w:rsidR="00681CED" w:rsidRDefault="00681CED">
      <w:pPr>
        <w:jc w:val="center"/>
        <w:rPr>
          <w:rFonts w:ascii="黑体" w:eastAsia="黑体"/>
          <w:sz w:val="52"/>
          <w:szCs w:val="52"/>
        </w:rPr>
      </w:pPr>
    </w:p>
    <w:p w:rsidR="00681CED" w:rsidRDefault="00681CED">
      <w:pPr>
        <w:jc w:val="center"/>
        <w:rPr>
          <w:rFonts w:ascii="黑体" w:eastAsia="黑体"/>
          <w:sz w:val="52"/>
          <w:szCs w:val="52"/>
        </w:rPr>
      </w:pPr>
    </w:p>
    <w:p w:rsidR="00681CED" w:rsidRDefault="000E5CF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681CED" w:rsidRDefault="00681CED">
      <w:pPr>
        <w:spacing w:line="500" w:lineRule="exact"/>
        <w:ind w:firstLine="645"/>
        <w:jc w:val="center"/>
        <w:rPr>
          <w:rFonts w:ascii="宋体" w:hAnsi="宋体" w:cs="宋体"/>
          <w:b/>
          <w:bCs/>
          <w:kern w:val="0"/>
          <w:sz w:val="36"/>
          <w:szCs w:val="36"/>
        </w:rPr>
      </w:pPr>
    </w:p>
    <w:p w:rsidR="00681CED" w:rsidRDefault="000E5CF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年度单位决算报表</w:t>
      </w:r>
    </w:p>
    <w:p w:rsidR="00681CED" w:rsidRDefault="000E5CF5">
      <w:pPr>
        <w:tabs>
          <w:tab w:val="center" w:pos="6979"/>
        </w:tabs>
        <w:spacing w:line="44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681CED" w:rsidRDefault="000E5CF5">
      <w:pPr>
        <w:tabs>
          <w:tab w:val="center" w:pos="6979"/>
        </w:tabs>
        <w:spacing w:line="44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681CED" w:rsidRDefault="000E5CF5">
      <w:pPr>
        <w:tabs>
          <w:tab w:val="center" w:pos="6979"/>
        </w:tabs>
        <w:spacing w:line="44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681CED" w:rsidRDefault="000E5CF5">
      <w:pPr>
        <w:tabs>
          <w:tab w:val="center" w:pos="6979"/>
        </w:tabs>
        <w:spacing w:line="44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681CED" w:rsidRDefault="000E5CF5">
      <w:pPr>
        <w:tabs>
          <w:tab w:val="center" w:pos="6979"/>
        </w:tabs>
        <w:spacing w:line="44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681CED" w:rsidRDefault="000E5CF5">
      <w:pPr>
        <w:tabs>
          <w:tab w:val="center" w:pos="6979"/>
        </w:tabs>
        <w:spacing w:line="44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681CED" w:rsidRDefault="000E5CF5">
      <w:pPr>
        <w:tabs>
          <w:tab w:val="center" w:pos="6979"/>
        </w:tabs>
        <w:spacing w:line="44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681CED" w:rsidRDefault="000E5CF5">
      <w:pPr>
        <w:tabs>
          <w:tab w:val="center" w:pos="6979"/>
        </w:tabs>
        <w:spacing w:line="44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681CED" w:rsidRDefault="000E5CF5">
      <w:pPr>
        <w:tabs>
          <w:tab w:val="center" w:pos="6979"/>
        </w:tabs>
        <w:spacing w:line="44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681CED" w:rsidRDefault="000E5CF5">
      <w:pPr>
        <w:tabs>
          <w:tab w:val="center" w:pos="6979"/>
        </w:tabs>
        <w:spacing w:line="44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681CED" w:rsidRDefault="000E5CF5">
      <w:pPr>
        <w:tabs>
          <w:tab w:val="center" w:pos="6979"/>
        </w:tabs>
        <w:spacing w:line="44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681CED" w:rsidRDefault="000E5CF5">
      <w:pPr>
        <w:tabs>
          <w:tab w:val="center" w:pos="6979"/>
        </w:tabs>
        <w:spacing w:line="44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681CED" w:rsidRDefault="000E5CF5">
      <w:pPr>
        <w:tabs>
          <w:tab w:val="center" w:pos="6979"/>
        </w:tabs>
        <w:spacing w:line="44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lastRenderedPageBreak/>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年度单位决算说明</w:t>
      </w:r>
    </w:p>
    <w:p w:rsidR="00681CED" w:rsidRDefault="000E5CF5">
      <w:pPr>
        <w:tabs>
          <w:tab w:val="center" w:pos="6979"/>
        </w:tabs>
        <w:spacing w:line="44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681CED" w:rsidRDefault="000E5CF5">
      <w:pPr>
        <w:tabs>
          <w:tab w:val="center" w:pos="6979"/>
        </w:tabs>
        <w:spacing w:line="44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spacing w:val="40"/>
          <w:kern w:val="0"/>
          <w:sz w:val="32"/>
          <w:szCs w:val="32"/>
        </w:rPr>
        <w:t>年度单位绩效评价情况</w:t>
      </w:r>
    </w:p>
    <w:p w:rsidR="00681CED" w:rsidRDefault="00681CED">
      <w:pPr>
        <w:tabs>
          <w:tab w:val="center" w:pos="6979"/>
        </w:tabs>
        <w:spacing w:beforeLines="50" w:before="156" w:afterLines="50" w:after="156"/>
        <w:jc w:val="center"/>
        <w:rPr>
          <w:rFonts w:ascii="宋体" w:hAnsi="宋体" w:cs="宋体"/>
          <w:b/>
          <w:bCs/>
          <w:spacing w:val="40"/>
          <w:kern w:val="0"/>
          <w:sz w:val="32"/>
          <w:szCs w:val="32"/>
        </w:rPr>
      </w:pPr>
    </w:p>
    <w:p w:rsidR="00681CED" w:rsidRDefault="00681CED">
      <w:pPr>
        <w:tabs>
          <w:tab w:val="center" w:pos="6979"/>
        </w:tabs>
        <w:spacing w:beforeLines="50" w:before="156" w:afterLines="50" w:after="156"/>
        <w:jc w:val="center"/>
        <w:rPr>
          <w:rFonts w:ascii="宋体" w:hAnsi="宋体" w:cs="宋体"/>
          <w:b/>
          <w:bCs/>
          <w:spacing w:val="40"/>
          <w:kern w:val="0"/>
          <w:sz w:val="32"/>
          <w:szCs w:val="32"/>
        </w:rPr>
      </w:pPr>
    </w:p>
    <w:p w:rsidR="00681CED" w:rsidRDefault="00681CED">
      <w:pPr>
        <w:tabs>
          <w:tab w:val="center" w:pos="6979"/>
        </w:tabs>
        <w:spacing w:beforeLines="50" w:before="156" w:afterLines="50" w:after="156"/>
        <w:jc w:val="center"/>
        <w:rPr>
          <w:rFonts w:ascii="宋体" w:hAnsi="宋体" w:cs="宋体"/>
          <w:b/>
          <w:bCs/>
          <w:spacing w:val="40"/>
          <w:kern w:val="0"/>
          <w:sz w:val="32"/>
          <w:szCs w:val="32"/>
        </w:rPr>
      </w:pPr>
    </w:p>
    <w:p w:rsidR="00681CED" w:rsidRDefault="000E5CF5">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2024</w:t>
      </w:r>
      <w:r>
        <w:rPr>
          <w:rFonts w:ascii="宋体" w:hAnsi="宋体" w:cs="宋体" w:hint="eastAsia"/>
          <w:b/>
          <w:bCs/>
          <w:spacing w:val="40"/>
          <w:kern w:val="0"/>
          <w:sz w:val="44"/>
          <w:szCs w:val="44"/>
        </w:rPr>
        <w:t>年度单位决算报表</w:t>
      </w:r>
    </w:p>
    <w:p w:rsidR="00681CED" w:rsidRDefault="000E5CF5">
      <w:pPr>
        <w:pStyle w:val="2"/>
        <w:rPr>
          <w:b w:val="0"/>
          <w:bCs w:val="0"/>
        </w:rPr>
        <w:sectPr w:rsidR="00681CED">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681CED" w:rsidRDefault="000E5CF5">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2024</w:t>
      </w:r>
      <w:r>
        <w:rPr>
          <w:rFonts w:ascii="宋体" w:hAnsi="宋体" w:hint="eastAsia"/>
          <w:b/>
          <w:spacing w:val="40"/>
          <w:sz w:val="32"/>
          <w:szCs w:val="32"/>
        </w:rPr>
        <w:t>年度单位决算说明</w:t>
      </w:r>
    </w:p>
    <w:p w:rsidR="00681CED" w:rsidRDefault="000E5CF5" w:rsidP="0028415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681CED" w:rsidRDefault="000E5CF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（一）本单位性质、职责等情况</w:t>
      </w:r>
    </w:p>
    <w:p w:rsidR="00681CED" w:rsidRDefault="000E5CF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北京市药品网络监测分析中心根据《中共北京市委机构编制委员会关于市市场监管局和市药监局所属事业单位改革有关事项的批复》（京编委</w:t>
      </w:r>
      <w:r>
        <w:rPr>
          <w:rFonts w:ascii="仿宋_GB2312" w:eastAsia="仿宋_GB2312" w:hint="eastAsia"/>
          <w:sz w:val="28"/>
          <w:szCs w:val="28"/>
        </w:rPr>
        <w:t>[2021]137</w:t>
      </w:r>
      <w:r>
        <w:rPr>
          <w:rFonts w:ascii="仿宋_GB2312" w:eastAsia="仿宋_GB2312" w:hint="eastAsia"/>
          <w:sz w:val="28"/>
          <w:szCs w:val="28"/>
        </w:rPr>
        <w:t>号）文件成立，为北京市药品监督管理局直属的正处级公益一类事业单位。</w:t>
      </w:r>
    </w:p>
    <w:p w:rsidR="00681CED" w:rsidRDefault="000E5CF5">
      <w:pPr>
        <w:tabs>
          <w:tab w:val="center" w:pos="6979"/>
        </w:tabs>
        <w:spacing w:line="580" w:lineRule="exact"/>
        <w:rPr>
          <w:rFonts w:ascii="仿宋_GB2312" w:eastAsia="仿宋_GB2312"/>
          <w:sz w:val="28"/>
          <w:szCs w:val="28"/>
        </w:rPr>
      </w:pPr>
      <w:r>
        <w:rPr>
          <w:rFonts w:ascii="仿宋_GB2312" w:eastAsia="仿宋_GB2312" w:hint="eastAsia"/>
          <w:sz w:val="28"/>
          <w:szCs w:val="28"/>
        </w:rPr>
        <w:t>主要职责：承担本市药品互联网经营及信息服务、广告发布行为等监测分析工作；承担药品监管信息收集分析以及各类信息采集、整理、综合利用等工作；开展药品监管领域政策创新研究等工作。</w:t>
      </w:r>
    </w:p>
    <w:p w:rsidR="00681CED" w:rsidRDefault="000E5CF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（二）机构设置情况</w:t>
      </w:r>
      <w:r>
        <w:rPr>
          <w:rFonts w:ascii="仿宋_GB2312" w:eastAsia="仿宋_GB2312" w:hint="eastAsia"/>
          <w:sz w:val="28"/>
          <w:szCs w:val="28"/>
        </w:rPr>
        <w:t xml:space="preserve"> </w:t>
      </w:r>
    </w:p>
    <w:p w:rsidR="00681CED" w:rsidRDefault="000E5CF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北京市药品网络监测分析中心内设</w:t>
      </w:r>
      <w:r>
        <w:rPr>
          <w:rFonts w:ascii="仿宋_GB2312" w:eastAsia="仿宋_GB2312" w:hint="eastAsia"/>
          <w:sz w:val="28"/>
          <w:szCs w:val="28"/>
        </w:rPr>
        <w:t>3</w:t>
      </w:r>
      <w:r>
        <w:rPr>
          <w:rFonts w:ascii="仿宋_GB2312" w:eastAsia="仿宋_GB2312" w:hint="eastAsia"/>
          <w:sz w:val="28"/>
          <w:szCs w:val="28"/>
        </w:rPr>
        <w:t>个科室，分别为：综合科、网络监测科，政策研究科。</w:t>
      </w:r>
    </w:p>
    <w:p w:rsidR="00681CED" w:rsidRDefault="000E5CF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北京市药品网络监测分析中</w:t>
      </w:r>
      <w:r>
        <w:rPr>
          <w:rFonts w:ascii="仿宋_GB2312" w:eastAsia="仿宋_GB2312" w:hint="eastAsia"/>
          <w:sz w:val="28"/>
          <w:szCs w:val="28"/>
        </w:rPr>
        <w:t>心无下属单位。</w:t>
      </w:r>
    </w:p>
    <w:p w:rsidR="00681CED" w:rsidRDefault="000E5CF5" w:rsidP="0028415D">
      <w:pPr>
        <w:tabs>
          <w:tab w:val="center" w:pos="6979"/>
        </w:tabs>
        <w:spacing w:line="580" w:lineRule="exact"/>
        <w:ind w:firstLineChars="200" w:firstLine="562"/>
        <w:rPr>
          <w:rFonts w:ascii="黑体" w:eastAsia="黑体"/>
          <w:b/>
          <w:sz w:val="28"/>
          <w:szCs w:val="28"/>
        </w:rPr>
      </w:pPr>
      <w:r>
        <w:rPr>
          <w:rFonts w:ascii="黑体" w:eastAsia="黑体" w:hint="eastAsia"/>
          <w:b/>
          <w:sz w:val="28"/>
          <w:szCs w:val="28"/>
        </w:rPr>
        <w:t>二、收入支出决算总体情况说明</w:t>
      </w:r>
    </w:p>
    <w:p w:rsidR="00681CED" w:rsidRDefault="000E5CF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889.87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20.22</w:t>
      </w:r>
      <w:r>
        <w:rPr>
          <w:rFonts w:ascii="仿宋_GB2312" w:eastAsia="仿宋_GB2312" w:hint="eastAsia"/>
          <w:sz w:val="28"/>
          <w:szCs w:val="28"/>
        </w:rPr>
        <w:t>万元，增长</w:t>
      </w:r>
      <w:r>
        <w:rPr>
          <w:rFonts w:ascii="仿宋_GB2312" w:eastAsia="仿宋_GB2312" w:hint="eastAsia"/>
          <w:sz w:val="28"/>
          <w:szCs w:val="28"/>
        </w:rPr>
        <w:t>2.33%</w:t>
      </w:r>
      <w:r>
        <w:rPr>
          <w:rFonts w:ascii="仿宋_GB2312" w:eastAsia="仿宋_GB2312" w:hint="eastAsia"/>
          <w:sz w:val="28"/>
          <w:szCs w:val="28"/>
        </w:rPr>
        <w:t>。</w:t>
      </w:r>
    </w:p>
    <w:p w:rsidR="00681CED" w:rsidRDefault="000E5CF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681CED" w:rsidRDefault="000E5CF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2024</w:t>
      </w:r>
      <w:r>
        <w:rPr>
          <w:rFonts w:ascii="仿宋_GB2312" w:eastAsia="仿宋_GB2312" w:hint="eastAsia"/>
          <w:sz w:val="28"/>
          <w:szCs w:val="28"/>
        </w:rPr>
        <w:t>年度本年收入合计</w:t>
      </w:r>
      <w:r>
        <w:rPr>
          <w:rFonts w:ascii="仿宋_GB2312" w:eastAsia="仿宋_GB2312"/>
          <w:sz w:val="28"/>
          <w:szCs w:val="28"/>
        </w:rPr>
        <w:t>835.72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73.68</w:t>
      </w:r>
      <w:r>
        <w:rPr>
          <w:rFonts w:ascii="仿宋_GB2312" w:eastAsia="仿宋_GB2312" w:hint="eastAsia"/>
          <w:sz w:val="28"/>
          <w:szCs w:val="28"/>
        </w:rPr>
        <w:t>万元，增长</w:t>
      </w:r>
      <w:r>
        <w:rPr>
          <w:rFonts w:ascii="仿宋_GB2312" w:eastAsia="仿宋_GB2312" w:hint="eastAsia"/>
          <w:sz w:val="28"/>
          <w:szCs w:val="28"/>
        </w:rPr>
        <w:t>9.67%</w:t>
      </w:r>
      <w:r>
        <w:rPr>
          <w:rFonts w:ascii="仿宋_GB2312" w:eastAsia="仿宋_GB2312" w:hint="eastAsia"/>
          <w:sz w:val="28"/>
          <w:szCs w:val="28"/>
        </w:rPr>
        <w:t>。</w:t>
      </w:r>
    </w:p>
    <w:p w:rsidR="00681CED" w:rsidRDefault="000E5CF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835.72</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835.72</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万元；国有资本经营预算财政拨款收入</w:t>
      </w:r>
      <w:r>
        <w:rPr>
          <w:rFonts w:ascii="仿宋_GB2312" w:eastAsia="仿宋_GB2312"/>
          <w:sz w:val="28"/>
          <w:szCs w:val="28"/>
        </w:rPr>
        <w:t>0</w:t>
      </w:r>
      <w:r>
        <w:rPr>
          <w:rFonts w:ascii="仿宋_GB2312" w:eastAsia="仿宋_GB2312" w:hint="eastAsia"/>
          <w:sz w:val="28"/>
          <w:szCs w:val="28"/>
        </w:rPr>
        <w:t>万元；</w:t>
      </w:r>
    </w:p>
    <w:p w:rsidR="00681CED" w:rsidRDefault="000E5CF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w:t>
      </w:r>
    </w:p>
    <w:p w:rsidR="00681CED" w:rsidRDefault="000E5CF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w:t>
      </w:r>
    </w:p>
    <w:p w:rsidR="00681CED" w:rsidRDefault="000E5CF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w:t>
      </w:r>
    </w:p>
    <w:p w:rsidR="00681CED" w:rsidRDefault="000E5CF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w:t>
      </w:r>
    </w:p>
    <w:p w:rsidR="00681CED" w:rsidRDefault="000E5CF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w:t>
      </w:r>
    </w:p>
    <w:p w:rsidR="00681CED" w:rsidRDefault="000E5CF5">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rsidR="00681CED" w:rsidRDefault="000E5CF5">
      <w:pPr>
        <w:pStyle w:val="a0"/>
        <w:ind w:firstLine="420"/>
        <w:jc w:val="center"/>
      </w:pPr>
      <w:r>
        <w:rPr>
          <w:rFonts w:hint="eastAsia"/>
          <w:noProof/>
        </w:rPr>
        <w:drawing>
          <wp:inline distT="0" distB="0" distL="114300" distR="114300">
            <wp:extent cx="4257675" cy="2316480"/>
            <wp:effectExtent l="0" t="0" r="9525" b="2667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81CED" w:rsidRDefault="00681CED">
      <w:pPr>
        <w:tabs>
          <w:tab w:val="center" w:pos="6979"/>
        </w:tabs>
        <w:spacing w:line="580" w:lineRule="exact"/>
        <w:ind w:firstLine="570"/>
        <w:rPr>
          <w:rFonts w:ascii="仿宋_GB2312" w:eastAsia="仿宋_GB2312"/>
          <w:sz w:val="28"/>
          <w:szCs w:val="28"/>
        </w:rPr>
      </w:pPr>
    </w:p>
    <w:p w:rsidR="00681CED" w:rsidRDefault="000E5CF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681CED" w:rsidRDefault="000E5CF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年度本年支出合计</w:t>
      </w:r>
      <w:r>
        <w:rPr>
          <w:rFonts w:ascii="仿宋_GB2312" w:eastAsia="仿宋_GB2312"/>
          <w:sz w:val="28"/>
          <w:szCs w:val="28"/>
        </w:rPr>
        <w:t>848.76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38.83</w:t>
      </w:r>
      <w:r>
        <w:rPr>
          <w:rFonts w:ascii="仿宋_GB2312" w:eastAsia="仿宋_GB2312" w:hint="eastAsia"/>
          <w:sz w:val="28"/>
          <w:szCs w:val="28"/>
        </w:rPr>
        <w:t>万元，增长</w:t>
      </w:r>
      <w:r>
        <w:rPr>
          <w:rFonts w:ascii="仿宋_GB2312" w:eastAsia="仿宋_GB2312" w:hint="eastAsia"/>
          <w:sz w:val="28"/>
          <w:szCs w:val="28"/>
        </w:rPr>
        <w:t>4.79%</w:t>
      </w:r>
      <w:r>
        <w:rPr>
          <w:rFonts w:ascii="仿宋_GB2312" w:eastAsia="仿宋_GB2312" w:hint="eastAsia"/>
          <w:sz w:val="28"/>
          <w:szCs w:val="28"/>
        </w:rPr>
        <w:t>，其中：基本支出</w:t>
      </w:r>
      <w:r>
        <w:rPr>
          <w:rFonts w:ascii="仿宋_GB2312" w:eastAsia="仿宋_GB2312"/>
          <w:sz w:val="28"/>
          <w:szCs w:val="28"/>
        </w:rPr>
        <w:t>575.06</w:t>
      </w:r>
      <w:r>
        <w:rPr>
          <w:rFonts w:ascii="仿宋_GB2312" w:eastAsia="仿宋_GB2312" w:hint="eastAsia"/>
          <w:sz w:val="28"/>
          <w:szCs w:val="28"/>
        </w:rPr>
        <w:t>万元，占支出合计的</w:t>
      </w:r>
      <w:r>
        <w:rPr>
          <w:rFonts w:ascii="仿宋_GB2312" w:eastAsia="仿宋_GB2312" w:hint="eastAsia"/>
          <w:sz w:val="28"/>
          <w:szCs w:val="28"/>
        </w:rPr>
        <w:t>67.75%</w:t>
      </w:r>
      <w:r>
        <w:rPr>
          <w:rFonts w:ascii="仿宋_GB2312" w:eastAsia="仿宋_GB2312" w:hint="eastAsia"/>
          <w:sz w:val="28"/>
          <w:szCs w:val="28"/>
        </w:rPr>
        <w:t>；项目支出</w:t>
      </w:r>
      <w:r>
        <w:rPr>
          <w:rFonts w:ascii="仿宋_GB2312" w:eastAsia="仿宋_GB2312"/>
          <w:sz w:val="28"/>
          <w:szCs w:val="28"/>
        </w:rPr>
        <w:t>273.7</w:t>
      </w:r>
      <w:r>
        <w:rPr>
          <w:rFonts w:ascii="仿宋_GB2312" w:eastAsia="仿宋_GB2312" w:hint="eastAsia"/>
          <w:sz w:val="28"/>
          <w:szCs w:val="28"/>
        </w:rPr>
        <w:t>万元，占支出合计的</w:t>
      </w:r>
      <w:r>
        <w:rPr>
          <w:rFonts w:ascii="仿宋_GB2312" w:eastAsia="仿宋_GB2312" w:hint="eastAsia"/>
          <w:sz w:val="28"/>
          <w:szCs w:val="28"/>
        </w:rPr>
        <w:t>32.25%;</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万元；经营支出</w:t>
      </w:r>
      <w:r>
        <w:rPr>
          <w:rFonts w:ascii="仿宋_GB2312" w:eastAsia="仿宋_GB2312"/>
          <w:sz w:val="28"/>
          <w:szCs w:val="28"/>
        </w:rPr>
        <w:t>0</w:t>
      </w:r>
      <w:r>
        <w:rPr>
          <w:rFonts w:ascii="仿宋_GB2312" w:eastAsia="仿宋_GB2312" w:hint="eastAsia"/>
          <w:sz w:val="28"/>
          <w:szCs w:val="28"/>
        </w:rPr>
        <w:t>万元；对附属单位补助支出</w:t>
      </w:r>
      <w:r>
        <w:rPr>
          <w:rFonts w:ascii="仿宋_GB2312" w:eastAsia="仿宋_GB2312"/>
          <w:sz w:val="28"/>
          <w:szCs w:val="28"/>
        </w:rPr>
        <w:t>0</w:t>
      </w:r>
      <w:r>
        <w:rPr>
          <w:rFonts w:ascii="仿宋_GB2312" w:eastAsia="仿宋_GB2312" w:hint="eastAsia"/>
          <w:sz w:val="28"/>
          <w:szCs w:val="28"/>
        </w:rPr>
        <w:t>万元。</w:t>
      </w:r>
    </w:p>
    <w:p w:rsidR="00681CED" w:rsidRDefault="000E5CF5">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681CED" w:rsidRDefault="000E5CF5">
      <w:pPr>
        <w:jc w:val="center"/>
        <w:rPr>
          <w:rFonts w:ascii="黑体" w:eastAsia="黑体"/>
          <w:b/>
          <w:sz w:val="28"/>
          <w:szCs w:val="28"/>
        </w:rPr>
      </w:pPr>
      <w:r>
        <w:rPr>
          <w:noProof/>
        </w:rPr>
        <w:drawing>
          <wp:inline distT="0" distB="0" distL="114300" distR="114300">
            <wp:extent cx="4572000" cy="2743200"/>
            <wp:effectExtent l="4445" t="4445" r="14605" b="14605"/>
            <wp:docPr id="1"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81CED" w:rsidRDefault="000E5CF5" w:rsidP="0028415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681CED" w:rsidRDefault="000E5CF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889.87</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20.22</w:t>
      </w:r>
      <w:r>
        <w:rPr>
          <w:rFonts w:ascii="仿宋_GB2312" w:eastAsia="仿宋_GB2312" w:hint="eastAsia"/>
          <w:sz w:val="28"/>
          <w:szCs w:val="28"/>
        </w:rPr>
        <w:t>万元，增长</w:t>
      </w:r>
      <w:r>
        <w:rPr>
          <w:rFonts w:ascii="仿宋_GB2312" w:eastAsia="仿宋_GB2312" w:hint="eastAsia"/>
          <w:sz w:val="28"/>
          <w:szCs w:val="28"/>
        </w:rPr>
        <w:t>2.33%</w:t>
      </w:r>
      <w:r>
        <w:rPr>
          <w:rFonts w:ascii="仿宋_GB2312" w:eastAsia="仿宋_GB2312" w:hint="eastAsia"/>
          <w:sz w:val="28"/>
          <w:szCs w:val="28"/>
        </w:rPr>
        <w:t>。主要原因：人员变动</w:t>
      </w:r>
      <w:r>
        <w:rPr>
          <w:rFonts w:ascii="仿宋_GB2312" w:eastAsia="仿宋_GB2312" w:hint="eastAsia"/>
          <w:sz w:val="28"/>
          <w:szCs w:val="28"/>
        </w:rPr>
        <w:t>,</w:t>
      </w:r>
      <w:r>
        <w:rPr>
          <w:rFonts w:ascii="仿宋_GB2312" w:eastAsia="仿宋_GB2312" w:hint="eastAsia"/>
          <w:sz w:val="28"/>
          <w:szCs w:val="28"/>
        </w:rPr>
        <w:t>相应支出增加。</w:t>
      </w:r>
    </w:p>
    <w:p w:rsidR="00681CED" w:rsidRDefault="000E5CF5" w:rsidP="0028415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681CED" w:rsidRDefault="000E5CF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681CED" w:rsidRDefault="000E5CF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2024</w:t>
      </w:r>
      <w:r>
        <w:rPr>
          <w:rFonts w:ascii="仿宋_GB2312" w:eastAsia="仿宋_GB2312" w:hint="eastAsia"/>
          <w:sz w:val="28"/>
          <w:szCs w:val="28"/>
        </w:rPr>
        <w:t>年度一般公共预算财政拨款支出</w:t>
      </w:r>
      <w:r>
        <w:rPr>
          <w:rFonts w:ascii="仿宋_GB2312" w:eastAsia="仿宋_GB2312" w:hint="eastAsia"/>
          <w:sz w:val="28"/>
          <w:szCs w:val="28"/>
        </w:rPr>
        <w:t>848.76</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主要用于以下方面</w:t>
      </w:r>
      <w:r>
        <w:rPr>
          <w:rFonts w:ascii="仿宋_GB2312" w:eastAsia="仿宋_GB2312" w:hint="eastAsia"/>
          <w:sz w:val="28"/>
          <w:szCs w:val="28"/>
        </w:rPr>
        <w:t>:</w:t>
      </w:r>
      <w:r>
        <w:rPr>
          <w:rFonts w:ascii="仿宋_GB2312" w:eastAsia="仿宋_GB2312" w:hint="eastAsia"/>
          <w:sz w:val="28"/>
          <w:szCs w:val="28"/>
        </w:rPr>
        <w:t>一般公共服务支出</w:t>
      </w:r>
      <w:r>
        <w:rPr>
          <w:rFonts w:ascii="仿宋_GB2312" w:eastAsia="仿宋_GB2312" w:hint="eastAsia"/>
          <w:sz w:val="28"/>
          <w:szCs w:val="28"/>
        </w:rPr>
        <w:t>726.03</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占本年财政拨款支出</w:t>
      </w:r>
      <w:r>
        <w:rPr>
          <w:rFonts w:ascii="仿宋_GB2312" w:eastAsia="仿宋_GB2312" w:hint="eastAsia"/>
          <w:sz w:val="28"/>
          <w:szCs w:val="28"/>
        </w:rPr>
        <w:t>85.54%;</w:t>
      </w:r>
      <w:r>
        <w:rPr>
          <w:rFonts w:ascii="仿宋_GB2312" w:eastAsia="仿宋_GB2312" w:hint="eastAsia"/>
          <w:sz w:val="28"/>
          <w:szCs w:val="28"/>
        </w:rPr>
        <w:t>社会保障和就业支出</w:t>
      </w:r>
      <w:r>
        <w:rPr>
          <w:rFonts w:ascii="仿宋_GB2312" w:eastAsia="仿宋_GB2312" w:hint="eastAsia"/>
          <w:sz w:val="28"/>
          <w:szCs w:val="28"/>
        </w:rPr>
        <w:t>62.00</w:t>
      </w:r>
      <w:r>
        <w:rPr>
          <w:rFonts w:ascii="仿宋_GB2312" w:eastAsia="仿宋_GB2312" w:hint="eastAsia"/>
          <w:sz w:val="28"/>
          <w:szCs w:val="28"/>
        </w:rPr>
        <w:t>万元</w:t>
      </w:r>
      <w:r>
        <w:rPr>
          <w:rFonts w:ascii="仿宋_GB2312" w:eastAsia="仿宋_GB2312" w:hint="eastAsia"/>
          <w:sz w:val="28"/>
          <w:szCs w:val="28"/>
        </w:rPr>
        <w:t xml:space="preserve">, </w:t>
      </w:r>
      <w:r>
        <w:rPr>
          <w:rFonts w:ascii="仿宋_GB2312" w:eastAsia="仿宋_GB2312" w:hint="eastAsia"/>
          <w:sz w:val="28"/>
          <w:szCs w:val="28"/>
        </w:rPr>
        <w:t>占本年财政拨款支出</w:t>
      </w:r>
      <w:r>
        <w:rPr>
          <w:rFonts w:ascii="仿宋_GB2312" w:eastAsia="仿宋_GB2312" w:hint="eastAsia"/>
          <w:sz w:val="28"/>
          <w:szCs w:val="28"/>
        </w:rPr>
        <w:t>7.30%;</w:t>
      </w:r>
      <w:r>
        <w:rPr>
          <w:rFonts w:ascii="仿宋_GB2312" w:eastAsia="仿宋_GB2312" w:hint="eastAsia"/>
          <w:sz w:val="28"/>
          <w:szCs w:val="28"/>
        </w:rPr>
        <w:t>卫生健康支出</w:t>
      </w:r>
      <w:r>
        <w:rPr>
          <w:rFonts w:ascii="仿宋_GB2312" w:eastAsia="仿宋_GB2312" w:hint="eastAsia"/>
          <w:sz w:val="28"/>
          <w:szCs w:val="28"/>
        </w:rPr>
        <w:t>60.74</w:t>
      </w:r>
      <w:r>
        <w:rPr>
          <w:rFonts w:ascii="仿宋_GB2312" w:eastAsia="仿宋_GB2312" w:hint="eastAsia"/>
          <w:sz w:val="28"/>
          <w:szCs w:val="28"/>
        </w:rPr>
        <w:t>万元</w:t>
      </w:r>
      <w:r>
        <w:rPr>
          <w:rFonts w:ascii="仿宋_GB2312" w:eastAsia="仿宋_GB2312" w:hint="eastAsia"/>
          <w:sz w:val="28"/>
          <w:szCs w:val="28"/>
        </w:rPr>
        <w:t xml:space="preserve">, </w:t>
      </w:r>
      <w:r>
        <w:rPr>
          <w:rFonts w:ascii="仿宋_GB2312" w:eastAsia="仿宋_GB2312" w:hint="eastAsia"/>
          <w:sz w:val="28"/>
          <w:szCs w:val="28"/>
        </w:rPr>
        <w:t>占本年财政拨款支出</w:t>
      </w:r>
      <w:r>
        <w:rPr>
          <w:rFonts w:ascii="仿宋_GB2312" w:eastAsia="仿宋_GB2312" w:hint="eastAsia"/>
          <w:sz w:val="28"/>
          <w:szCs w:val="28"/>
        </w:rPr>
        <w:t>7.16%</w:t>
      </w:r>
      <w:r>
        <w:rPr>
          <w:rFonts w:ascii="仿宋_GB2312" w:eastAsia="仿宋_GB2312" w:hint="eastAsia"/>
          <w:sz w:val="28"/>
          <w:szCs w:val="28"/>
        </w:rPr>
        <w:t>。</w:t>
      </w:r>
    </w:p>
    <w:p w:rsidR="00681CED" w:rsidRDefault="000E5CF5">
      <w:pPr>
        <w:autoSpaceDE w:val="0"/>
        <w:autoSpaceDN w:val="0"/>
        <w:adjustRightInd w:val="0"/>
        <w:spacing w:line="580" w:lineRule="exact"/>
        <w:ind w:firstLineChars="200" w:firstLine="560"/>
        <w:jc w:val="left"/>
        <w:rPr>
          <w:rFonts w:ascii="仿宋_GB2312" w:eastAsia="仿宋_GB2312"/>
          <w:sz w:val="28"/>
          <w:szCs w:val="28"/>
          <w:highlight w:val="yellow"/>
        </w:rPr>
      </w:pPr>
      <w:r>
        <w:rPr>
          <w:rFonts w:ascii="仿宋_GB2312" w:eastAsia="仿宋_GB2312" w:hint="eastAsia"/>
          <w:sz w:val="28"/>
          <w:szCs w:val="28"/>
        </w:rPr>
        <w:t>(</w:t>
      </w:r>
      <w:r>
        <w:rPr>
          <w:rFonts w:ascii="仿宋_GB2312" w:eastAsia="仿宋_GB2312" w:hint="eastAsia"/>
          <w:sz w:val="28"/>
          <w:szCs w:val="28"/>
        </w:rPr>
        <w:t>二</w:t>
      </w:r>
      <w:r>
        <w:rPr>
          <w:rFonts w:ascii="仿宋_GB2312" w:eastAsia="仿宋_GB2312" w:hint="eastAsia"/>
          <w:sz w:val="28"/>
          <w:szCs w:val="28"/>
        </w:rPr>
        <w:t xml:space="preserve">) </w:t>
      </w:r>
      <w:r>
        <w:rPr>
          <w:rFonts w:ascii="仿宋_GB2312" w:eastAsia="仿宋_GB2312" w:hint="eastAsia"/>
          <w:sz w:val="28"/>
          <w:szCs w:val="28"/>
        </w:rPr>
        <w:t>一般公共预算财政拨款支出决算具体情况</w:t>
      </w:r>
    </w:p>
    <w:p w:rsidR="00681CED" w:rsidRDefault="000E5CF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7</w:t>
      </w:r>
      <w:r>
        <w:rPr>
          <w:rFonts w:ascii="仿宋_GB2312" w:eastAsia="仿宋_GB2312" w:hint="eastAsia"/>
          <w:sz w:val="28"/>
          <w:szCs w:val="28"/>
        </w:rPr>
        <w:t>60.32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726.03</w:t>
      </w:r>
      <w:r>
        <w:rPr>
          <w:rFonts w:ascii="仿宋_GB2312" w:eastAsia="仿宋_GB2312" w:hint="eastAsia"/>
          <w:sz w:val="28"/>
          <w:szCs w:val="28"/>
        </w:rPr>
        <w:t>万元，完成年初预算的</w:t>
      </w:r>
      <w:r>
        <w:rPr>
          <w:rFonts w:ascii="仿宋_GB2312" w:eastAsia="仿宋_GB2312" w:hint="eastAsia"/>
          <w:sz w:val="28"/>
          <w:szCs w:val="28"/>
        </w:rPr>
        <w:t>95.49%</w:t>
      </w:r>
      <w:r>
        <w:rPr>
          <w:rFonts w:ascii="仿宋_GB2312" w:eastAsia="仿宋_GB2312" w:hint="eastAsia"/>
          <w:sz w:val="28"/>
          <w:szCs w:val="28"/>
        </w:rPr>
        <w:t>。其中：</w:t>
      </w:r>
    </w:p>
    <w:p w:rsidR="00681CED" w:rsidRDefault="000E5CF5">
      <w:pPr>
        <w:spacing w:line="580" w:lineRule="exact"/>
        <w:ind w:firstLineChars="200" w:firstLine="560"/>
        <w:rPr>
          <w:rFonts w:ascii="仿宋_GB2312" w:eastAsia="仿宋_GB2312"/>
          <w:sz w:val="28"/>
          <w:szCs w:val="28"/>
        </w:rPr>
      </w:pPr>
      <w:r>
        <w:rPr>
          <w:rFonts w:ascii="仿宋_GB2312" w:eastAsia="仿宋_GB2312" w:hint="eastAsia"/>
          <w:sz w:val="28"/>
          <w:szCs w:val="28"/>
        </w:rPr>
        <w:t>“市场监督管理事务”</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760.32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726.03</w:t>
      </w:r>
      <w:r>
        <w:rPr>
          <w:rFonts w:ascii="仿宋_GB2312" w:eastAsia="仿宋_GB2312" w:hint="eastAsia"/>
          <w:sz w:val="28"/>
          <w:szCs w:val="28"/>
        </w:rPr>
        <w:t>万元，完成年初预算的</w:t>
      </w:r>
      <w:r>
        <w:rPr>
          <w:rFonts w:ascii="仿宋_GB2312" w:eastAsia="仿宋_GB2312" w:hint="eastAsia"/>
          <w:sz w:val="28"/>
          <w:szCs w:val="28"/>
        </w:rPr>
        <w:t>95.49%</w:t>
      </w:r>
      <w:r>
        <w:rPr>
          <w:rFonts w:ascii="仿宋_GB2312" w:eastAsia="仿宋_GB2312" w:hint="eastAsia"/>
          <w:sz w:val="28"/>
          <w:szCs w:val="28"/>
        </w:rPr>
        <w:t>。主要原因：严格落实过紧日子要求、压减一般性支出。</w:t>
      </w:r>
    </w:p>
    <w:p w:rsidR="00681CED" w:rsidRDefault="000E5CF5">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66.39</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62.00</w:t>
      </w:r>
      <w:r>
        <w:rPr>
          <w:rFonts w:ascii="仿宋_GB2312" w:eastAsia="仿宋_GB2312" w:hint="eastAsia"/>
          <w:sz w:val="28"/>
          <w:szCs w:val="28"/>
        </w:rPr>
        <w:t>万元，完成年初预算的</w:t>
      </w:r>
      <w:r>
        <w:rPr>
          <w:rFonts w:ascii="仿宋_GB2312" w:eastAsia="仿宋_GB2312" w:hint="eastAsia"/>
          <w:sz w:val="28"/>
          <w:szCs w:val="28"/>
        </w:rPr>
        <w:t>93.39%</w:t>
      </w:r>
      <w:r>
        <w:rPr>
          <w:rFonts w:ascii="仿宋_GB2312" w:eastAsia="仿宋_GB2312" w:hint="eastAsia"/>
          <w:sz w:val="28"/>
          <w:szCs w:val="28"/>
        </w:rPr>
        <w:t>。其中：</w:t>
      </w:r>
      <w:r>
        <w:rPr>
          <w:rFonts w:ascii="仿宋_GB2312" w:eastAsia="仿宋_GB2312"/>
          <w:sz w:val="28"/>
          <w:szCs w:val="28"/>
        </w:rPr>
        <w:t xml:space="preserve"> </w:t>
      </w:r>
    </w:p>
    <w:p w:rsidR="00681CED" w:rsidRDefault="000E5CF5">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 xml:space="preserve"> 2024</w:t>
      </w:r>
      <w:r>
        <w:rPr>
          <w:rFonts w:ascii="仿宋_GB2312" w:eastAsia="仿宋_GB2312" w:hint="eastAsia"/>
          <w:sz w:val="28"/>
          <w:szCs w:val="28"/>
        </w:rPr>
        <w:t>年度年初预算</w:t>
      </w:r>
      <w:r>
        <w:rPr>
          <w:rFonts w:ascii="仿宋_GB2312" w:eastAsia="仿宋_GB2312" w:hint="eastAsia"/>
          <w:sz w:val="28"/>
          <w:szCs w:val="28"/>
        </w:rPr>
        <w:t>66.39</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62.00</w:t>
      </w:r>
      <w:r>
        <w:rPr>
          <w:rFonts w:ascii="仿宋_GB2312" w:eastAsia="仿宋_GB2312" w:hint="eastAsia"/>
          <w:sz w:val="28"/>
          <w:szCs w:val="28"/>
        </w:rPr>
        <w:t>万元，完成年初预算的</w:t>
      </w:r>
      <w:r>
        <w:rPr>
          <w:rFonts w:ascii="仿宋_GB2312" w:eastAsia="仿宋_GB2312" w:hint="eastAsia"/>
          <w:sz w:val="28"/>
          <w:szCs w:val="28"/>
        </w:rPr>
        <w:t>93.39%</w:t>
      </w:r>
      <w:r>
        <w:rPr>
          <w:rFonts w:ascii="仿宋_GB2312" w:eastAsia="仿宋_GB2312" w:hint="eastAsia"/>
          <w:sz w:val="28"/>
          <w:szCs w:val="28"/>
        </w:rPr>
        <w:t>。主</w:t>
      </w:r>
      <w:r>
        <w:rPr>
          <w:rFonts w:ascii="仿宋_GB2312" w:eastAsia="仿宋_GB2312" w:hint="eastAsia"/>
          <w:sz w:val="28"/>
          <w:szCs w:val="28"/>
        </w:rPr>
        <w:t>要原因：落实机关事业单位养老保险政策，按规定缴纳养老保险及职业年金。</w:t>
      </w:r>
    </w:p>
    <w:p w:rsidR="00681CED" w:rsidRDefault="000E5CF5">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、“卫生健康支出”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40.25</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60.74</w:t>
      </w:r>
      <w:r>
        <w:rPr>
          <w:rFonts w:ascii="仿宋_GB2312" w:eastAsia="仿宋_GB2312" w:hint="eastAsia"/>
          <w:sz w:val="28"/>
          <w:szCs w:val="28"/>
        </w:rPr>
        <w:t>万元，完成年初预算的</w:t>
      </w:r>
      <w:r>
        <w:rPr>
          <w:rFonts w:ascii="仿宋_GB2312" w:eastAsia="仿宋_GB2312" w:hint="eastAsia"/>
          <w:sz w:val="28"/>
          <w:szCs w:val="28"/>
        </w:rPr>
        <w:t>150.91%</w:t>
      </w:r>
      <w:r>
        <w:rPr>
          <w:rFonts w:ascii="仿宋_GB2312" w:eastAsia="仿宋_GB2312" w:hint="eastAsia"/>
          <w:sz w:val="28"/>
          <w:szCs w:val="28"/>
        </w:rPr>
        <w:t>。</w:t>
      </w:r>
    </w:p>
    <w:p w:rsidR="00681CED" w:rsidRDefault="000E5CF5">
      <w:pPr>
        <w:spacing w:line="580" w:lineRule="exact"/>
        <w:rPr>
          <w:rFonts w:ascii="仿宋_GB2312" w:eastAsia="仿宋_GB2312"/>
          <w:sz w:val="28"/>
          <w:szCs w:val="28"/>
        </w:rPr>
      </w:pPr>
      <w:r>
        <w:rPr>
          <w:rFonts w:ascii="仿宋_GB2312" w:eastAsia="仿宋_GB2312" w:hint="eastAsia"/>
          <w:sz w:val="28"/>
          <w:szCs w:val="28"/>
        </w:rPr>
        <w:t>其中：</w:t>
      </w:r>
    </w:p>
    <w:p w:rsidR="00681CED" w:rsidRDefault="000E5CF5">
      <w:pPr>
        <w:spacing w:line="560" w:lineRule="exact"/>
        <w:ind w:firstLineChars="200" w:firstLine="560"/>
      </w:pPr>
      <w:r>
        <w:rPr>
          <w:rFonts w:ascii="仿宋_GB2312" w:eastAsia="仿宋_GB2312" w:hint="eastAsia"/>
          <w:sz w:val="28"/>
          <w:szCs w:val="28"/>
        </w:rPr>
        <w:t>“行政事业单位医疗”</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40.25</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60.74</w:t>
      </w:r>
      <w:r>
        <w:rPr>
          <w:rFonts w:ascii="仿宋_GB2312" w:eastAsia="仿宋_GB2312" w:hint="eastAsia"/>
          <w:sz w:val="28"/>
          <w:szCs w:val="28"/>
        </w:rPr>
        <w:t>万元，完成年初预算的</w:t>
      </w:r>
      <w:r>
        <w:rPr>
          <w:rFonts w:ascii="仿宋_GB2312" w:eastAsia="仿宋_GB2312" w:hint="eastAsia"/>
          <w:sz w:val="28"/>
          <w:szCs w:val="28"/>
        </w:rPr>
        <w:t>150.91%</w:t>
      </w:r>
      <w:r>
        <w:rPr>
          <w:rFonts w:ascii="仿宋_GB2312" w:eastAsia="仿宋_GB2312" w:hint="eastAsia"/>
          <w:sz w:val="28"/>
          <w:szCs w:val="28"/>
        </w:rPr>
        <w:t>。主要</w:t>
      </w:r>
      <w:r>
        <w:rPr>
          <w:rFonts w:ascii="仿宋_GB2312" w:eastAsia="仿宋_GB2312" w:hint="eastAsia"/>
          <w:sz w:val="28"/>
          <w:szCs w:val="28"/>
        </w:rPr>
        <w:lastRenderedPageBreak/>
        <w:t>原因：加大上年度结转结余资金消化力度，按规定缴纳职工基本医疗保险。</w:t>
      </w:r>
    </w:p>
    <w:p w:rsidR="00681CED" w:rsidRDefault="000E5CF5" w:rsidP="0028415D">
      <w:pPr>
        <w:spacing w:line="56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681CED" w:rsidRDefault="000E5CF5">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本年度无此项支出。</w:t>
      </w:r>
    </w:p>
    <w:p w:rsidR="00681CED" w:rsidRDefault="000E5CF5" w:rsidP="0028415D">
      <w:pPr>
        <w:spacing w:line="56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681CED" w:rsidRDefault="000E5CF5">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本年度无此项经费。</w:t>
      </w:r>
    </w:p>
    <w:p w:rsidR="00681CED" w:rsidRDefault="000E5CF5" w:rsidP="0028415D">
      <w:pPr>
        <w:spacing w:line="56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681CED" w:rsidRDefault="000E5CF5" w:rsidP="0028415D">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w:t>
      </w:r>
      <w:r>
        <w:rPr>
          <w:rFonts w:ascii="仿宋_GB2312" w:eastAsia="仿宋_GB2312" w:hint="eastAsia"/>
          <w:sz w:val="28"/>
          <w:szCs w:val="28"/>
        </w:rPr>
        <w:t>年度使用一般公共预算财政拨款安排基本支出</w:t>
      </w:r>
      <w:r>
        <w:rPr>
          <w:rFonts w:ascii="仿宋_GB2312" w:eastAsia="仿宋_GB2312"/>
          <w:sz w:val="28"/>
          <w:szCs w:val="28"/>
        </w:rPr>
        <w:t>575.06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w:t>
      </w:r>
      <w:r>
        <w:rPr>
          <w:rFonts w:ascii="仿宋_GB2312" w:eastAsia="仿宋_GB2312"/>
          <w:sz w:val="28"/>
          <w:szCs w:val="28"/>
        </w:rPr>
        <w:t>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681CED" w:rsidRDefault="000E5CF5">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681CED" w:rsidRDefault="000E5CF5">
      <w:pPr>
        <w:tabs>
          <w:tab w:val="center" w:pos="6979"/>
        </w:tabs>
        <w:spacing w:line="560" w:lineRule="exact"/>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681CED" w:rsidRDefault="000E5CF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681CED" w:rsidRDefault="000E5CF5">
      <w:pPr>
        <w:spacing w:line="560" w:lineRule="exact"/>
        <w:ind w:firstLineChars="200" w:firstLine="560"/>
        <w:rPr>
          <w:rFonts w:ascii="黑体" w:eastAsia="黑体"/>
          <w:sz w:val="28"/>
          <w:szCs w:val="28"/>
        </w:rPr>
      </w:pPr>
      <w:r>
        <w:rPr>
          <w:rFonts w:ascii="仿宋_GB2312" w:eastAsia="仿宋_GB2312" w:hint="eastAsia"/>
          <w:sz w:val="28"/>
          <w:szCs w:val="28"/>
        </w:rPr>
        <w:t>本年度无此项支出。</w:t>
      </w:r>
    </w:p>
    <w:p w:rsidR="00681CED" w:rsidRDefault="000E5CF5">
      <w:pPr>
        <w:tabs>
          <w:tab w:val="center" w:pos="6979"/>
        </w:tabs>
        <w:spacing w:line="560" w:lineRule="exact"/>
        <w:ind w:firstLineChars="198" w:firstLine="554"/>
        <w:rPr>
          <w:rFonts w:ascii="黑体" w:eastAsia="黑体"/>
          <w:sz w:val="28"/>
          <w:szCs w:val="28"/>
        </w:rPr>
      </w:pPr>
      <w:r>
        <w:rPr>
          <w:rFonts w:ascii="黑体" w:eastAsia="黑体" w:hint="eastAsia"/>
          <w:sz w:val="28"/>
          <w:szCs w:val="28"/>
        </w:rPr>
        <w:t>二、机关运行经费支出情况</w:t>
      </w:r>
    </w:p>
    <w:p w:rsidR="00681CED" w:rsidRDefault="000E5CF5">
      <w:pPr>
        <w:spacing w:line="560" w:lineRule="exact"/>
        <w:ind w:left="540"/>
        <w:rPr>
          <w:rFonts w:ascii="仿宋_GB2312" w:eastAsia="仿宋_GB2312"/>
          <w:sz w:val="28"/>
          <w:szCs w:val="28"/>
        </w:rPr>
      </w:pPr>
      <w:r>
        <w:rPr>
          <w:rFonts w:ascii="仿宋_GB2312" w:eastAsia="仿宋_GB2312" w:hint="eastAsia"/>
          <w:sz w:val="28"/>
          <w:szCs w:val="28"/>
        </w:rPr>
        <w:t>本单位不在机关运行经费统计范围之内。</w:t>
      </w:r>
    </w:p>
    <w:p w:rsidR="00681CED" w:rsidRDefault="000E5CF5">
      <w:pPr>
        <w:spacing w:line="560" w:lineRule="exact"/>
        <w:ind w:left="540"/>
        <w:rPr>
          <w:rFonts w:ascii="黑体" w:eastAsia="黑体"/>
          <w:sz w:val="28"/>
          <w:szCs w:val="28"/>
        </w:rPr>
      </w:pPr>
      <w:r>
        <w:rPr>
          <w:rFonts w:ascii="黑体" w:eastAsia="黑体" w:hint="eastAsia"/>
          <w:sz w:val="28"/>
          <w:szCs w:val="28"/>
        </w:rPr>
        <w:t>三、政府采购支出情况</w:t>
      </w:r>
    </w:p>
    <w:p w:rsidR="00681CED" w:rsidRDefault="000E5CF5" w:rsidP="0028415D">
      <w:pPr>
        <w:spacing w:line="560" w:lineRule="exact"/>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年度政府采购支出总额</w:t>
      </w:r>
      <w:r>
        <w:rPr>
          <w:rFonts w:ascii="仿宋_GB2312" w:eastAsia="仿宋_GB2312"/>
          <w:sz w:val="28"/>
          <w:szCs w:val="28"/>
        </w:rPr>
        <w:t>196.89</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196.89</w:t>
      </w:r>
      <w:r>
        <w:rPr>
          <w:rFonts w:ascii="仿宋_GB2312" w:eastAsia="仿宋_GB2312" w:hint="eastAsia"/>
          <w:sz w:val="28"/>
          <w:szCs w:val="28"/>
        </w:rPr>
        <w:t>万元。授予中小企业合同金额</w:t>
      </w:r>
      <w:r>
        <w:rPr>
          <w:rFonts w:ascii="仿宋_GB2312" w:eastAsia="仿宋_GB2312"/>
          <w:sz w:val="28"/>
          <w:szCs w:val="28"/>
        </w:rPr>
        <w:t>184.09</w:t>
      </w:r>
      <w:r>
        <w:rPr>
          <w:rFonts w:ascii="仿宋_GB2312" w:eastAsia="仿宋_GB2312" w:hint="eastAsia"/>
          <w:sz w:val="28"/>
          <w:szCs w:val="28"/>
        </w:rPr>
        <w:t>万元，占政府采购支出总额的</w:t>
      </w:r>
      <w:r>
        <w:rPr>
          <w:rFonts w:ascii="仿宋_GB2312" w:eastAsia="仿宋_GB2312" w:hint="eastAsia"/>
          <w:sz w:val="28"/>
          <w:szCs w:val="28"/>
        </w:rPr>
        <w:t>93.50%</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184.09</w:t>
      </w:r>
      <w:r>
        <w:rPr>
          <w:rFonts w:ascii="仿宋_GB2312" w:eastAsia="仿宋_GB2312" w:hint="eastAsia"/>
          <w:sz w:val="28"/>
          <w:szCs w:val="28"/>
        </w:rPr>
        <w:t>万元，占政府采购支出总额的</w:t>
      </w:r>
      <w:r>
        <w:rPr>
          <w:rFonts w:ascii="仿宋_GB2312" w:eastAsia="仿宋_GB2312"/>
          <w:sz w:val="28"/>
          <w:szCs w:val="28"/>
        </w:rPr>
        <w:t>93.5</w:t>
      </w:r>
      <w:r>
        <w:rPr>
          <w:rFonts w:ascii="仿宋_GB2312" w:eastAsia="仿宋_GB2312" w:hint="eastAsia"/>
          <w:sz w:val="28"/>
          <w:szCs w:val="28"/>
        </w:rPr>
        <w:t>0%</w:t>
      </w:r>
      <w:r>
        <w:rPr>
          <w:rFonts w:ascii="仿宋_GB2312" w:eastAsia="仿宋_GB2312" w:hint="eastAsia"/>
          <w:sz w:val="28"/>
          <w:szCs w:val="28"/>
        </w:rPr>
        <w:t>。</w:t>
      </w:r>
    </w:p>
    <w:p w:rsidR="00681CED" w:rsidRDefault="000E5CF5">
      <w:pPr>
        <w:spacing w:line="560" w:lineRule="exact"/>
        <w:ind w:firstLineChars="200" w:firstLine="560"/>
        <w:rPr>
          <w:rFonts w:ascii="黑体" w:eastAsia="黑体"/>
          <w:sz w:val="28"/>
          <w:szCs w:val="28"/>
          <w:highlight w:val="yellow"/>
        </w:rPr>
      </w:pPr>
      <w:r>
        <w:rPr>
          <w:rFonts w:ascii="黑体" w:eastAsia="黑体" w:hint="eastAsia"/>
          <w:sz w:val="28"/>
          <w:szCs w:val="28"/>
        </w:rPr>
        <w:t>四、国有资产占用情况</w:t>
      </w:r>
    </w:p>
    <w:p w:rsidR="00681CED" w:rsidRDefault="000E5CF5">
      <w:pPr>
        <w:spacing w:line="560" w:lineRule="exact"/>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日，北京市药品网络监测分析中心共有车辆</w:t>
      </w:r>
      <w:r>
        <w:rPr>
          <w:rFonts w:ascii="仿宋_GB2312" w:eastAsia="仿宋_GB2312" w:hint="eastAsia"/>
          <w:sz w:val="28"/>
          <w:szCs w:val="28"/>
        </w:rPr>
        <w:t>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w:t>
      </w:r>
    </w:p>
    <w:p w:rsidR="00681CED" w:rsidRDefault="000E5CF5" w:rsidP="0028415D">
      <w:pPr>
        <w:spacing w:line="560" w:lineRule="exact"/>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681CED" w:rsidRDefault="000E5CF5" w:rsidP="0028415D">
      <w:pPr>
        <w:spacing w:line="560" w:lineRule="exact"/>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681CED" w:rsidRDefault="000E5CF5">
      <w:pPr>
        <w:spacing w:line="560" w:lineRule="exact"/>
        <w:ind w:firstLineChars="200" w:firstLine="560"/>
        <w:jc w:val="left"/>
        <w:rPr>
          <w:rFonts w:ascii="仿宋_GB2312" w:eastAsia="仿宋_GB2312"/>
          <w:color w:val="000000"/>
          <w:sz w:val="32"/>
          <w:szCs w:val="32"/>
        </w:rPr>
      </w:pPr>
      <w:r>
        <w:rPr>
          <w:rFonts w:ascii="黑体" w:eastAsia="黑体" w:hint="eastAsia"/>
          <w:sz w:val="28"/>
          <w:szCs w:val="28"/>
        </w:rPr>
        <w:lastRenderedPageBreak/>
        <w:t>六、</w:t>
      </w:r>
      <w:r>
        <w:rPr>
          <w:rFonts w:ascii="黑体" w:eastAsia="黑体"/>
          <w:sz w:val="28"/>
          <w:szCs w:val="28"/>
        </w:rPr>
        <w:t>专业名词解释</w:t>
      </w:r>
    </w:p>
    <w:p w:rsidR="00681CED" w:rsidRDefault="000E5CF5">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681CED" w:rsidRDefault="000E5CF5">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681CED" w:rsidRDefault="000E5CF5">
      <w:pPr>
        <w:spacing w:line="560" w:lineRule="exact"/>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681CED" w:rsidRDefault="000E5CF5">
      <w:pPr>
        <w:spacing w:line="560" w:lineRule="exact"/>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681CED" w:rsidRDefault="000E5CF5">
      <w:pPr>
        <w:spacing w:line="56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681CED" w:rsidRDefault="000E5CF5">
      <w:pPr>
        <w:spacing w:line="56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w:t>
      </w:r>
      <w:r>
        <w:rPr>
          <w:rFonts w:ascii="仿宋_GB2312" w:eastAsia="仿宋_GB2312" w:hint="eastAsia"/>
          <w:sz w:val="28"/>
          <w:szCs w:val="28"/>
        </w:rPr>
        <w:t>过市场化方式提供的服务事项，按照政府采购方式和程序，交由符合条件的服务供应商承担，并根据服务数量和质量等因素向其支付费用的行为。</w:t>
      </w:r>
    </w:p>
    <w:p w:rsidR="00681CED" w:rsidRDefault="000E5CF5">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lastRenderedPageBreak/>
        <w:t>7.</w:t>
      </w:r>
      <w:r>
        <w:rPr>
          <w:rFonts w:ascii="仿宋_GB2312" w:eastAsia="仿宋_GB2312" w:hAnsi="Calibri" w:cs="Calibri" w:hint="eastAsia"/>
          <w:sz w:val="28"/>
          <w:szCs w:val="28"/>
        </w:rPr>
        <w:t>一般公共服务支出（类）市场监督管理事务（款）事业运行（项）：反映事业单位的基本支出，不包括行政单位（包括实行公务员管理的事业单位）后勤服务中心、医务室等附属事业单位。</w:t>
      </w:r>
    </w:p>
    <w:p w:rsidR="00681CED" w:rsidRDefault="000E5CF5">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8.</w:t>
      </w:r>
      <w:r>
        <w:rPr>
          <w:rFonts w:ascii="仿宋_GB2312" w:eastAsia="仿宋_GB2312" w:hAnsi="Calibri" w:cs="Calibri" w:hint="eastAsia"/>
          <w:sz w:val="28"/>
          <w:szCs w:val="28"/>
        </w:rPr>
        <w:t>一般公共服务支出（类）市场监督管理事务（款）其他市场监督管理事务（项）：反映用于除上述项目以外其他市场监督管理事务方面的支出。</w:t>
      </w:r>
    </w:p>
    <w:p w:rsidR="00681CED" w:rsidRDefault="000E5CF5">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9.</w:t>
      </w:r>
      <w:r>
        <w:rPr>
          <w:rFonts w:ascii="仿宋_GB2312" w:eastAsia="仿宋_GB2312" w:hAnsi="Calibri" w:cs="Calibri" w:hint="eastAsia"/>
          <w:sz w:val="28"/>
          <w:szCs w:val="28"/>
        </w:rPr>
        <w:t>社会保障和就业支出（类）行政事业单位养老支出（款）事业单位离退休（项）：反</w:t>
      </w:r>
      <w:r>
        <w:rPr>
          <w:rFonts w:ascii="仿宋_GB2312" w:eastAsia="仿宋_GB2312" w:hAnsi="Calibri" w:cs="Calibri" w:hint="eastAsia"/>
          <w:sz w:val="28"/>
          <w:szCs w:val="28"/>
        </w:rPr>
        <w:t>映事业单位开支的离退休经费。</w:t>
      </w:r>
    </w:p>
    <w:p w:rsidR="00681CED" w:rsidRDefault="000E5CF5">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10.</w:t>
      </w:r>
      <w:r>
        <w:rPr>
          <w:rFonts w:ascii="仿宋_GB2312" w:eastAsia="仿宋_GB2312" w:hAnsi="Calibri" w:cs="Calibri" w:hint="eastAsia"/>
          <w:sz w:val="28"/>
          <w:szCs w:val="28"/>
        </w:rPr>
        <w:t>社会保障和就业支出（类）行政事业单位养老支出（款）机关事业单位基本养老保险缴费支出（项）：反映机关事业单位实施养老保险制度由单位缴纳的基本养老保险费支出。</w:t>
      </w:r>
    </w:p>
    <w:p w:rsidR="00681CED" w:rsidRDefault="000E5CF5">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11.</w:t>
      </w:r>
      <w:r>
        <w:rPr>
          <w:rFonts w:ascii="仿宋_GB2312" w:eastAsia="仿宋_GB2312" w:hAnsi="宋体"/>
          <w:sz w:val="28"/>
          <w:szCs w:val="28"/>
          <w:lang w:val="en"/>
        </w:rPr>
        <w:t>社会保障和就业支出</w:t>
      </w:r>
      <w:r>
        <w:rPr>
          <w:rFonts w:ascii="仿宋_GB2312" w:eastAsia="仿宋_GB2312" w:hAnsi="宋体" w:hint="eastAsia"/>
          <w:sz w:val="28"/>
          <w:szCs w:val="28"/>
          <w:lang w:val="en"/>
        </w:rPr>
        <w:t>（类）</w:t>
      </w:r>
      <w:r>
        <w:rPr>
          <w:rFonts w:ascii="仿宋_GB2312" w:eastAsia="仿宋_GB2312" w:hAnsi="宋体" w:hint="eastAsia"/>
          <w:sz w:val="28"/>
          <w:szCs w:val="28"/>
        </w:rPr>
        <w:t>行政事业单位养老支出（款）机关事业单位职业年金缴费支出</w:t>
      </w:r>
      <w:r>
        <w:rPr>
          <w:rFonts w:ascii="仿宋_GB2312" w:eastAsia="仿宋_GB2312" w:hAnsi="宋体" w:hint="eastAsia"/>
          <w:sz w:val="28"/>
          <w:szCs w:val="28"/>
          <w:lang w:val="en"/>
        </w:rPr>
        <w:t>（项）</w:t>
      </w:r>
      <w:r>
        <w:rPr>
          <w:rFonts w:ascii="仿宋_GB2312" w:eastAsia="仿宋_GB2312" w:hAnsi="宋体" w:hint="eastAsia"/>
          <w:sz w:val="28"/>
          <w:szCs w:val="28"/>
        </w:rPr>
        <w:t>：</w:t>
      </w:r>
      <w:r>
        <w:rPr>
          <w:rFonts w:ascii="仿宋_GB2312" w:eastAsia="仿宋_GB2312" w:hAnsi="宋体" w:hint="eastAsia"/>
          <w:sz w:val="28"/>
          <w:szCs w:val="28"/>
          <w:lang w:val="en"/>
        </w:rPr>
        <w:t>反映机关事业单位实施养老保险制度由单位实际缴纳的职业年金支出（</w:t>
      </w:r>
      <w:proofErr w:type="gramStart"/>
      <w:r>
        <w:rPr>
          <w:rFonts w:ascii="仿宋_GB2312" w:eastAsia="仿宋_GB2312" w:hAnsi="宋体" w:hint="eastAsia"/>
          <w:sz w:val="28"/>
          <w:szCs w:val="28"/>
          <w:lang w:val="en"/>
        </w:rPr>
        <w:t>含职业</w:t>
      </w:r>
      <w:proofErr w:type="gramEnd"/>
      <w:r>
        <w:rPr>
          <w:rFonts w:ascii="仿宋_GB2312" w:eastAsia="仿宋_GB2312" w:hAnsi="宋体" w:hint="eastAsia"/>
          <w:sz w:val="28"/>
          <w:szCs w:val="28"/>
          <w:lang w:val="en"/>
        </w:rPr>
        <w:t>年金补记支出）。</w:t>
      </w:r>
    </w:p>
    <w:p w:rsidR="00681CED" w:rsidRDefault="000E5CF5">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12.</w:t>
      </w:r>
      <w:r>
        <w:rPr>
          <w:rFonts w:ascii="仿宋_GB2312" w:eastAsia="仿宋_GB2312" w:hAnsi="Calibri" w:cs="Calibri" w:hint="eastAsia"/>
          <w:sz w:val="28"/>
          <w:szCs w:val="28"/>
        </w:rPr>
        <w:t>卫生健康支出（类）行政事业单位医疗（款）事业单位医疗（项）：反映财政部门安排的事业单位基本医疗保险缴费经费，未参加医疗保险的事业单位的公</w:t>
      </w:r>
      <w:r>
        <w:rPr>
          <w:rFonts w:ascii="仿宋_GB2312" w:eastAsia="仿宋_GB2312" w:hAnsi="Calibri" w:cs="Calibri" w:hint="eastAsia"/>
          <w:sz w:val="28"/>
          <w:szCs w:val="28"/>
        </w:rPr>
        <w:t>费医疗经费，按国家规定享受离休人员待遇人员的医疗经费。</w:t>
      </w:r>
    </w:p>
    <w:p w:rsidR="00681CED" w:rsidRDefault="000E5CF5">
      <w:pPr>
        <w:spacing w:line="560" w:lineRule="exact"/>
        <w:ind w:firstLineChars="200" w:firstLine="560"/>
        <w:rPr>
          <w:rFonts w:ascii="黑体" w:eastAsia="黑体"/>
          <w:sz w:val="32"/>
          <w:szCs w:val="32"/>
        </w:rPr>
      </w:pPr>
      <w:r>
        <w:rPr>
          <w:rFonts w:ascii="仿宋_GB2312" w:eastAsia="仿宋_GB2312" w:hAnsi="Calibri" w:cs="Calibri" w:hint="eastAsia"/>
          <w:sz w:val="28"/>
          <w:szCs w:val="28"/>
        </w:rPr>
        <w:t>13.</w:t>
      </w:r>
      <w:r>
        <w:rPr>
          <w:rFonts w:ascii="仿宋_GB2312" w:eastAsia="仿宋_GB2312" w:hAnsi="Calibri" w:cs="Calibri" w:hint="eastAsia"/>
          <w:sz w:val="28"/>
          <w:szCs w:val="28"/>
        </w:rPr>
        <w:t>卫生健康支出（类）行政事业单位医疗（款）公务员医疗补助（项）：反映财政部门安排的公务员医疗补助经费。</w:t>
      </w:r>
    </w:p>
    <w:p w:rsidR="0028415D" w:rsidRDefault="0028415D">
      <w:pPr>
        <w:ind w:firstLineChars="200" w:firstLine="640"/>
        <w:jc w:val="center"/>
        <w:rPr>
          <w:rFonts w:ascii="黑体" w:eastAsia="黑体" w:hint="eastAsia"/>
          <w:sz w:val="32"/>
          <w:szCs w:val="32"/>
        </w:rPr>
      </w:pPr>
    </w:p>
    <w:p w:rsidR="00681CED" w:rsidRDefault="000E5CF5">
      <w:pPr>
        <w:ind w:firstLineChars="200" w:firstLine="640"/>
        <w:jc w:val="center"/>
        <w:rPr>
          <w:rFonts w:ascii="黑体" w:eastAsia="黑体"/>
          <w:sz w:val="32"/>
          <w:szCs w:val="32"/>
        </w:rPr>
      </w:pPr>
      <w:r>
        <w:rPr>
          <w:rFonts w:ascii="黑体" w:eastAsia="黑体" w:hint="eastAsia"/>
          <w:sz w:val="32"/>
          <w:szCs w:val="32"/>
        </w:rPr>
        <w:lastRenderedPageBreak/>
        <w:t>第四部分</w:t>
      </w:r>
      <w:r>
        <w:rPr>
          <w:rFonts w:ascii="黑体" w:eastAsia="黑体" w:hint="eastAsia"/>
          <w:sz w:val="32"/>
          <w:szCs w:val="32"/>
        </w:rPr>
        <w:t xml:space="preserve">  2024</w:t>
      </w:r>
      <w:r>
        <w:rPr>
          <w:rFonts w:ascii="黑体" w:eastAsia="黑体" w:hint="eastAsia"/>
          <w:sz w:val="32"/>
          <w:szCs w:val="32"/>
        </w:rPr>
        <w:t>年度单位绩效评价情况</w:t>
      </w:r>
    </w:p>
    <w:p w:rsidR="00681CED" w:rsidRDefault="000E5CF5">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p w:rsidR="00681CED" w:rsidRDefault="000E5CF5">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互联网药品经营数据搜索和处理</w:t>
      </w:r>
    </w:p>
    <w:p w:rsidR="00681CED" w:rsidRDefault="000E5CF5">
      <w:pPr>
        <w:spacing w:line="480" w:lineRule="exact"/>
        <w:jc w:val="center"/>
        <w:rPr>
          <w:rFonts w:ascii="仿宋_GB2312" w:eastAsia="仿宋_GB2312" w:hAnsi="宋体" w:cs="宋体"/>
          <w:b/>
          <w:bCs/>
          <w:color w:val="000000"/>
          <w:kern w:val="0"/>
          <w:sz w:val="32"/>
          <w:szCs w:val="32"/>
        </w:rPr>
      </w:pPr>
      <w:r>
        <w:rPr>
          <w:rFonts w:ascii="仿宋_GB2312" w:eastAsia="仿宋_GB2312" w:hAnsi="宋体" w:hint="eastAsia"/>
          <w:sz w:val="28"/>
          <w:szCs w:val="28"/>
        </w:rPr>
        <w:t>（</w:t>
      </w:r>
      <w:r>
        <w:rPr>
          <w:rFonts w:ascii="仿宋_GB2312" w:eastAsia="仿宋_GB2312" w:hAnsi="宋体" w:hint="eastAsia"/>
          <w:sz w:val="28"/>
          <w:szCs w:val="28"/>
        </w:rPr>
        <w:t>2024</w:t>
      </w:r>
      <w:r>
        <w:rPr>
          <w:rFonts w:ascii="仿宋_GB2312" w:eastAsia="仿宋_GB2312" w:hAnsi="宋体" w:hint="eastAsia"/>
          <w:sz w:val="28"/>
          <w:szCs w:val="28"/>
        </w:rPr>
        <w:t>年度）</w:t>
      </w:r>
    </w:p>
    <w:tbl>
      <w:tblPr>
        <w:tblW w:w="14785" w:type="dxa"/>
        <w:tblInd w:w="93" w:type="dxa"/>
        <w:tblLook w:val="04A0" w:firstRow="1" w:lastRow="0" w:firstColumn="1" w:lastColumn="0" w:noHBand="0" w:noVBand="1"/>
      </w:tblPr>
      <w:tblGrid>
        <w:gridCol w:w="745"/>
        <w:gridCol w:w="1081"/>
        <w:gridCol w:w="1125"/>
        <w:gridCol w:w="2341"/>
        <w:gridCol w:w="1039"/>
        <w:gridCol w:w="1090"/>
        <w:gridCol w:w="2312"/>
        <w:gridCol w:w="1011"/>
        <w:gridCol w:w="954"/>
        <w:gridCol w:w="3087"/>
      </w:tblGrid>
      <w:tr w:rsidR="00681CED">
        <w:trPr>
          <w:trHeight w:val="376"/>
        </w:trPr>
        <w:tc>
          <w:tcPr>
            <w:tcW w:w="28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97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互联网药品经营数据搜索和处理</w:t>
            </w:r>
          </w:p>
        </w:tc>
      </w:tr>
      <w:tr w:rsidR="00681CED">
        <w:trPr>
          <w:trHeight w:val="436"/>
        </w:trPr>
        <w:tc>
          <w:tcPr>
            <w:tcW w:w="28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5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511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北京市药品网络监测分析中心</w:t>
            </w:r>
          </w:p>
        </w:tc>
      </w:tr>
      <w:tr w:rsidR="00681CED">
        <w:trPr>
          <w:trHeight w:val="600"/>
        </w:trPr>
        <w:tc>
          <w:tcPr>
            <w:tcW w:w="281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681CED">
        <w:trPr>
          <w:trHeight w:val="402"/>
        </w:trPr>
        <w:tc>
          <w:tcPr>
            <w:tcW w:w="28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100.25</w:t>
            </w:r>
          </w:p>
        </w:tc>
        <w:tc>
          <w:tcPr>
            <w:tcW w:w="10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100.25</w:t>
            </w:r>
          </w:p>
        </w:tc>
        <w:tc>
          <w:tcPr>
            <w:tcW w:w="23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100.05</w:t>
            </w:r>
          </w:p>
        </w:tc>
        <w:tc>
          <w:tcPr>
            <w:tcW w:w="1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9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99.80%</w:t>
            </w:r>
          </w:p>
        </w:tc>
        <w:tc>
          <w:tcPr>
            <w:tcW w:w="31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9.98 </w:t>
            </w:r>
          </w:p>
        </w:tc>
      </w:tr>
      <w:tr w:rsidR="00681CED">
        <w:trPr>
          <w:trHeight w:val="402"/>
        </w:trPr>
        <w:tc>
          <w:tcPr>
            <w:tcW w:w="28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100.25</w:t>
            </w:r>
          </w:p>
        </w:tc>
        <w:tc>
          <w:tcPr>
            <w:tcW w:w="10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100.25</w:t>
            </w:r>
          </w:p>
        </w:tc>
        <w:tc>
          <w:tcPr>
            <w:tcW w:w="23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100.05</w:t>
            </w:r>
          </w:p>
        </w:tc>
        <w:tc>
          <w:tcPr>
            <w:tcW w:w="1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9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31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r>
      <w:tr w:rsidR="00681CED">
        <w:trPr>
          <w:trHeight w:val="402"/>
        </w:trPr>
        <w:tc>
          <w:tcPr>
            <w:tcW w:w="28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0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0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9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31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r>
      <w:tr w:rsidR="00681CED">
        <w:trPr>
          <w:trHeight w:val="421"/>
        </w:trPr>
        <w:tc>
          <w:tcPr>
            <w:tcW w:w="28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r>
      <w:tr w:rsidR="00681CED">
        <w:trPr>
          <w:trHeight w:val="430"/>
        </w:trPr>
        <w:tc>
          <w:tcPr>
            <w:tcW w:w="57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6753"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681CED" w:rsidRDefault="000E5CF5">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745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681CED" w:rsidRDefault="000E5CF5">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81CED">
        <w:trPr>
          <w:trHeight w:val="1740"/>
        </w:trPr>
        <w:tc>
          <w:tcPr>
            <w:tcW w:w="57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67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通过开展本市辖区内药品</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含药品、医疗器械、化妆品，下同</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网站、自营平台及第三方交易平台经营者数据搜索与处理；网站及平台经营药品相关信息搜索与处理；及协助开展专项监测实现对北京市辖区内两品</w:t>
            </w:r>
            <w:proofErr w:type="gramStart"/>
            <w:r>
              <w:rPr>
                <w:rFonts w:ascii="宋体" w:hAnsi="宋体" w:cs="宋体" w:hint="eastAsia"/>
                <w:color w:val="000000"/>
                <w:kern w:val="0"/>
                <w:sz w:val="20"/>
                <w:szCs w:val="20"/>
                <w:lang w:bidi="ar"/>
              </w:rPr>
              <w:t>一械销售</w:t>
            </w:r>
            <w:proofErr w:type="gramEnd"/>
            <w:r>
              <w:rPr>
                <w:rFonts w:ascii="宋体" w:hAnsi="宋体" w:cs="宋体" w:hint="eastAsia"/>
                <w:color w:val="000000"/>
                <w:kern w:val="0"/>
                <w:sz w:val="20"/>
                <w:szCs w:val="20"/>
                <w:lang w:bidi="ar"/>
              </w:rPr>
              <w:t>违法行为监测，为违法行为处理提供有效数据支持，提升两品</w:t>
            </w:r>
            <w:proofErr w:type="gramStart"/>
            <w:r>
              <w:rPr>
                <w:rFonts w:ascii="宋体" w:hAnsi="宋体" w:cs="宋体" w:hint="eastAsia"/>
                <w:color w:val="000000"/>
                <w:kern w:val="0"/>
                <w:sz w:val="20"/>
                <w:szCs w:val="20"/>
                <w:lang w:bidi="ar"/>
              </w:rPr>
              <w:t>一械网络</w:t>
            </w:r>
            <w:proofErr w:type="gramEnd"/>
            <w:r>
              <w:rPr>
                <w:rFonts w:ascii="宋体" w:hAnsi="宋体" w:cs="宋体" w:hint="eastAsia"/>
                <w:color w:val="000000"/>
                <w:kern w:val="0"/>
                <w:sz w:val="20"/>
                <w:szCs w:val="20"/>
                <w:lang w:bidi="ar"/>
              </w:rPr>
              <w:t>销售环境。</w:t>
            </w:r>
          </w:p>
        </w:tc>
        <w:tc>
          <w:tcPr>
            <w:tcW w:w="74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通过连续</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月开展本市辖区内药品、医疗器械、化妆品网站、自营平台及第三方交易平台经营者数据搜索与处理；网站及平台经营药品相关信息搜索与处理；及协助开展专项监测成功的实现了对北京市辖区内两品</w:t>
            </w:r>
            <w:proofErr w:type="gramStart"/>
            <w:r>
              <w:rPr>
                <w:rFonts w:ascii="宋体" w:hAnsi="宋体" w:cs="宋体" w:hint="eastAsia"/>
                <w:color w:val="000000"/>
                <w:kern w:val="0"/>
                <w:sz w:val="20"/>
                <w:szCs w:val="20"/>
                <w:lang w:bidi="ar"/>
              </w:rPr>
              <w:t>一械销售</w:t>
            </w:r>
            <w:proofErr w:type="gramEnd"/>
            <w:r>
              <w:rPr>
                <w:rFonts w:ascii="宋体" w:hAnsi="宋体" w:cs="宋体" w:hint="eastAsia"/>
                <w:color w:val="000000"/>
                <w:kern w:val="0"/>
                <w:sz w:val="20"/>
                <w:szCs w:val="20"/>
                <w:lang w:bidi="ar"/>
              </w:rPr>
              <w:t>违法行为监测，抓取</w:t>
            </w:r>
            <w:r>
              <w:rPr>
                <w:rFonts w:ascii="宋体" w:hAnsi="宋体" w:cs="宋体" w:hint="eastAsia"/>
                <w:color w:val="000000"/>
                <w:kern w:val="0"/>
                <w:sz w:val="20"/>
                <w:szCs w:val="20"/>
                <w:lang w:bidi="ar"/>
              </w:rPr>
              <w:t>24066</w:t>
            </w:r>
            <w:r>
              <w:rPr>
                <w:rFonts w:ascii="宋体" w:hAnsi="宋体" w:cs="宋体" w:hint="eastAsia"/>
                <w:color w:val="000000"/>
                <w:kern w:val="0"/>
                <w:sz w:val="20"/>
                <w:szCs w:val="20"/>
                <w:lang w:bidi="ar"/>
              </w:rPr>
              <w:t>个网络第三方平台北京</w:t>
            </w:r>
            <w:r>
              <w:rPr>
                <w:rFonts w:ascii="宋体" w:hAnsi="宋体" w:cs="宋体" w:hint="eastAsia"/>
                <w:color w:val="000000"/>
                <w:kern w:val="0"/>
                <w:sz w:val="20"/>
                <w:szCs w:val="20"/>
                <w:lang w:bidi="ar"/>
              </w:rPr>
              <w:t>辖区内入网经营者，</w:t>
            </w:r>
            <w:r>
              <w:rPr>
                <w:rFonts w:ascii="宋体" w:hAnsi="宋体" w:cs="宋体" w:hint="eastAsia"/>
                <w:color w:val="000000"/>
                <w:kern w:val="0"/>
                <w:sz w:val="20"/>
                <w:szCs w:val="20"/>
                <w:lang w:bidi="ar"/>
              </w:rPr>
              <w:t>4237</w:t>
            </w:r>
            <w:r>
              <w:rPr>
                <w:rFonts w:ascii="宋体" w:hAnsi="宋体" w:cs="宋体" w:hint="eastAsia"/>
                <w:color w:val="000000"/>
                <w:kern w:val="0"/>
                <w:sz w:val="20"/>
                <w:szCs w:val="20"/>
                <w:lang w:bidi="ar"/>
              </w:rPr>
              <w:t>个北京市辖区内网站，为违法行为处理提供了有效数据支持，持续提升了两品</w:t>
            </w:r>
            <w:proofErr w:type="gramStart"/>
            <w:r>
              <w:rPr>
                <w:rFonts w:ascii="宋体" w:hAnsi="宋体" w:cs="宋体" w:hint="eastAsia"/>
                <w:color w:val="000000"/>
                <w:kern w:val="0"/>
                <w:sz w:val="20"/>
                <w:szCs w:val="20"/>
                <w:lang w:bidi="ar"/>
              </w:rPr>
              <w:t>一械网络</w:t>
            </w:r>
            <w:proofErr w:type="gramEnd"/>
            <w:r>
              <w:rPr>
                <w:rFonts w:ascii="宋体" w:hAnsi="宋体" w:cs="宋体" w:hint="eastAsia"/>
                <w:color w:val="000000"/>
                <w:kern w:val="0"/>
                <w:sz w:val="20"/>
                <w:szCs w:val="20"/>
                <w:lang w:bidi="ar"/>
              </w:rPr>
              <w:t>销售环境。</w:t>
            </w:r>
          </w:p>
        </w:tc>
      </w:tr>
      <w:tr w:rsidR="00681CED">
        <w:trPr>
          <w:trHeight w:val="810"/>
        </w:trPr>
        <w:tc>
          <w:tcPr>
            <w:tcW w:w="57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绩效指标</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681CED">
        <w:trPr>
          <w:trHeight w:val="600"/>
        </w:trPr>
        <w:tc>
          <w:tcPr>
            <w:tcW w:w="57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095" w:type="dxa"/>
            <w:vMerge w:val="restart"/>
            <w:tcBorders>
              <w:top w:val="single" w:sz="4" w:space="0" w:color="000000"/>
              <w:left w:val="single" w:sz="4" w:space="0" w:color="000000"/>
              <w:bottom w:val="nil"/>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抓取网络第三方平台北京辖区内入网经营者数量</w:t>
            </w:r>
          </w:p>
        </w:tc>
        <w:tc>
          <w:tcPr>
            <w:tcW w:w="2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20000</w:t>
            </w:r>
            <w:r>
              <w:rPr>
                <w:rFonts w:ascii="宋体" w:hAnsi="宋体" w:cs="宋体" w:hint="eastAsia"/>
                <w:color w:val="000000"/>
                <w:kern w:val="0"/>
                <w:sz w:val="20"/>
                <w:szCs w:val="20"/>
                <w:lang w:bidi="ar"/>
              </w:rPr>
              <w:t>个</w:t>
            </w: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24066</w:t>
            </w:r>
            <w:r>
              <w:rPr>
                <w:rFonts w:ascii="宋体" w:hAnsi="宋体" w:cs="宋体" w:hint="eastAsia"/>
                <w:color w:val="000000"/>
                <w:kern w:val="0"/>
                <w:sz w:val="20"/>
                <w:szCs w:val="20"/>
                <w:lang w:bidi="ar"/>
              </w:rPr>
              <w:t>个</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7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095" w:type="dxa"/>
            <w:vMerge/>
            <w:tcBorders>
              <w:top w:val="single" w:sz="4" w:space="0" w:color="000000"/>
              <w:left w:val="single" w:sz="4" w:space="0" w:color="000000"/>
              <w:bottom w:val="nil"/>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抓取北京市辖区内网站数量</w:t>
            </w:r>
          </w:p>
        </w:tc>
        <w:tc>
          <w:tcPr>
            <w:tcW w:w="2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3000</w:t>
            </w:r>
            <w:r>
              <w:rPr>
                <w:rFonts w:ascii="宋体" w:hAnsi="宋体" w:cs="宋体" w:hint="eastAsia"/>
                <w:color w:val="000000"/>
                <w:kern w:val="0"/>
                <w:sz w:val="20"/>
                <w:szCs w:val="20"/>
                <w:lang w:bidi="ar"/>
              </w:rPr>
              <w:t>个</w:t>
            </w: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4237</w:t>
            </w:r>
            <w:r>
              <w:rPr>
                <w:rFonts w:ascii="宋体" w:hAnsi="宋体" w:cs="宋体" w:hint="eastAsia"/>
                <w:color w:val="000000"/>
                <w:kern w:val="0"/>
                <w:sz w:val="20"/>
                <w:szCs w:val="20"/>
                <w:lang w:bidi="ar"/>
              </w:rPr>
              <w:t>个</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1035"/>
        </w:trPr>
        <w:tc>
          <w:tcPr>
            <w:tcW w:w="57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095" w:type="dxa"/>
            <w:vMerge/>
            <w:tcBorders>
              <w:top w:val="single" w:sz="4" w:space="0" w:color="000000"/>
              <w:left w:val="single" w:sz="4" w:space="0" w:color="000000"/>
              <w:bottom w:val="nil"/>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数据清洗率（对数据库中的数据每月进行数据清洗，去除黄页、无效链接等）</w:t>
            </w:r>
          </w:p>
        </w:tc>
        <w:tc>
          <w:tcPr>
            <w:tcW w:w="2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7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095" w:type="dxa"/>
            <w:vMerge/>
            <w:tcBorders>
              <w:top w:val="single" w:sz="4" w:space="0" w:color="000000"/>
              <w:left w:val="single" w:sz="4" w:space="0" w:color="000000"/>
              <w:bottom w:val="nil"/>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北京元素覆盖率</w:t>
            </w:r>
          </w:p>
        </w:tc>
        <w:tc>
          <w:tcPr>
            <w:tcW w:w="2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7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095" w:type="dxa"/>
            <w:vMerge/>
            <w:tcBorders>
              <w:top w:val="single" w:sz="4" w:space="0" w:color="000000"/>
              <w:left w:val="single" w:sz="4" w:space="0" w:color="000000"/>
              <w:bottom w:val="nil"/>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更新数据完成时间</w:t>
            </w:r>
          </w:p>
        </w:tc>
        <w:tc>
          <w:tcPr>
            <w:tcW w:w="2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月</w:t>
            </w: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月</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7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月均成本控制数</w:t>
            </w:r>
          </w:p>
        </w:tc>
        <w:tc>
          <w:tcPr>
            <w:tcW w:w="2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8.3</w:t>
            </w:r>
            <w:r>
              <w:rPr>
                <w:rFonts w:ascii="宋体" w:hAnsi="宋体" w:cs="宋体" w:hint="eastAsia"/>
                <w:color w:val="000000"/>
                <w:kern w:val="0"/>
                <w:sz w:val="20"/>
                <w:szCs w:val="20"/>
                <w:lang w:bidi="ar"/>
              </w:rPr>
              <w:t>万元</w:t>
            </w: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8.3</w:t>
            </w:r>
            <w:r>
              <w:rPr>
                <w:rFonts w:ascii="宋体" w:hAnsi="宋体" w:cs="宋体" w:hint="eastAsia"/>
                <w:color w:val="000000"/>
                <w:kern w:val="0"/>
                <w:sz w:val="20"/>
                <w:szCs w:val="20"/>
                <w:lang w:bidi="ar"/>
              </w:rPr>
              <w:t>万元</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1182"/>
        </w:trPr>
        <w:tc>
          <w:tcPr>
            <w:tcW w:w="57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0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140" w:type="dxa"/>
            <w:tcBorders>
              <w:top w:val="single" w:sz="4" w:space="0" w:color="000000"/>
              <w:left w:val="single" w:sz="4" w:space="0" w:color="000000"/>
              <w:bottom w:val="nil"/>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对干部职工履职基础、公共服务能力的影响</w:t>
            </w:r>
          </w:p>
        </w:tc>
        <w:tc>
          <w:tcPr>
            <w:tcW w:w="2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个领域违法行为处理提供有效数据支持，加强干部职工履职基础、公共服务的能力</w:t>
            </w: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个领域违法行为处理提供了有效数据支持，加强了干部职工履职基础、公共服务的能力</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1155"/>
        </w:trPr>
        <w:tc>
          <w:tcPr>
            <w:tcW w:w="57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0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对“两品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械”网络经营监管水平的影响</w:t>
            </w:r>
          </w:p>
        </w:tc>
        <w:tc>
          <w:tcPr>
            <w:tcW w:w="2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个领域违法行为处理提供有效数据支持，使</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个领域网络经营监管的水平得到提升</w:t>
            </w:r>
          </w:p>
        </w:tc>
        <w:tc>
          <w:tcPr>
            <w:tcW w:w="2344"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个领域违法行为处理了提供有效数据支持，使</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个领域网络经营监管的水平得到了提升</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45"/>
        </w:trPr>
        <w:tc>
          <w:tcPr>
            <w:tcW w:w="57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09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140"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378"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数据使用部门满意度</w:t>
            </w:r>
          </w:p>
        </w:tc>
        <w:tc>
          <w:tcPr>
            <w:tcW w:w="2140" w:type="dxa"/>
            <w:gridSpan w:val="2"/>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2344"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w:t>
            </w:r>
          </w:p>
        </w:tc>
        <w:tc>
          <w:tcPr>
            <w:tcW w:w="101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402"/>
        </w:trPr>
        <w:tc>
          <w:tcPr>
            <w:tcW w:w="96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99.98 </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b/>
                <w:color w:val="000000"/>
                <w:sz w:val="20"/>
                <w:szCs w:val="20"/>
              </w:rPr>
            </w:pPr>
          </w:p>
        </w:tc>
      </w:tr>
    </w:tbl>
    <w:p w:rsidR="00681CED" w:rsidRDefault="00681CED"/>
    <w:p w:rsidR="00681CED" w:rsidRDefault="000E5CF5">
      <w:pPr>
        <w:rPr>
          <w:rFonts w:ascii="宋体" w:hAnsi="宋体" w:cs="宋体"/>
          <w:color w:val="000000"/>
          <w:kern w:val="0"/>
          <w:sz w:val="18"/>
          <w:szCs w:val="18"/>
          <w:lang w:bidi="ar"/>
        </w:rPr>
      </w:pPr>
      <w:r>
        <w:rPr>
          <w:rFonts w:ascii="宋体" w:hAnsi="宋体" w:cs="宋体" w:hint="eastAsia"/>
          <w:color w:val="000000"/>
          <w:kern w:val="0"/>
          <w:sz w:val="18"/>
          <w:szCs w:val="18"/>
          <w:lang w:bidi="ar"/>
        </w:rPr>
        <w:br w:type="page"/>
      </w:r>
    </w:p>
    <w:p w:rsidR="00681CED" w:rsidRDefault="000E5CF5">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lastRenderedPageBreak/>
        <w:t xml:space="preserve">   </w:t>
      </w:r>
      <w:r>
        <w:rPr>
          <w:rFonts w:ascii="方正小标宋简体" w:eastAsia="方正小标宋简体" w:hAnsi="黑体" w:hint="eastAsia"/>
          <w:sz w:val="36"/>
          <w:szCs w:val="36"/>
        </w:rPr>
        <w:t>业务保障经费</w:t>
      </w:r>
    </w:p>
    <w:p w:rsidR="00681CED" w:rsidRDefault="000E5CF5">
      <w:pPr>
        <w:pStyle w:val="a0"/>
        <w:ind w:firstLine="560"/>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2024</w:t>
      </w:r>
      <w:r>
        <w:rPr>
          <w:rFonts w:ascii="仿宋_GB2312" w:eastAsia="仿宋_GB2312" w:hAnsi="宋体" w:hint="eastAsia"/>
          <w:sz w:val="28"/>
          <w:szCs w:val="28"/>
        </w:rPr>
        <w:t>年度）</w:t>
      </w:r>
    </w:p>
    <w:tbl>
      <w:tblPr>
        <w:tblW w:w="15330" w:type="dxa"/>
        <w:tblInd w:w="93" w:type="dxa"/>
        <w:tblLook w:val="04A0" w:firstRow="1" w:lastRow="0" w:firstColumn="1" w:lastColumn="0" w:noHBand="0" w:noVBand="1"/>
      </w:tblPr>
      <w:tblGrid>
        <w:gridCol w:w="744"/>
        <w:gridCol w:w="1226"/>
        <w:gridCol w:w="1519"/>
        <w:gridCol w:w="3238"/>
        <w:gridCol w:w="1296"/>
        <w:gridCol w:w="1149"/>
        <w:gridCol w:w="1857"/>
        <w:gridCol w:w="1147"/>
        <w:gridCol w:w="1499"/>
        <w:gridCol w:w="1655"/>
      </w:tblGrid>
      <w:tr w:rsidR="00681CED">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98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业务保障经费</w:t>
            </w:r>
          </w:p>
        </w:tc>
      </w:tr>
      <w:tr w:rsidR="00681CED">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7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3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北京市药品网络监测分析中心</w:t>
            </w:r>
          </w:p>
        </w:tc>
      </w:tr>
      <w:tr w:rsidR="00681CED">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681CED">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98.3636</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69.1336</w:t>
            </w:r>
          </w:p>
        </w:tc>
        <w:tc>
          <w:tcPr>
            <w:tcW w:w="18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66.581350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5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96.31%</w:t>
            </w:r>
          </w:p>
        </w:tc>
        <w:tc>
          <w:tcPr>
            <w:tcW w:w="16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9.63 </w:t>
            </w:r>
          </w:p>
        </w:tc>
      </w:tr>
      <w:tr w:rsidR="00681CED">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98.3636</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69.1336</w:t>
            </w:r>
          </w:p>
        </w:tc>
        <w:tc>
          <w:tcPr>
            <w:tcW w:w="18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66.581350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5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6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r>
      <w:tr w:rsidR="00681CED">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8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5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6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r>
      <w:tr w:rsidR="00681CED">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r>
      <w:tr w:rsidR="00681CED">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85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81CED">
        <w:trPr>
          <w:trHeight w:val="125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85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通过专项信息监测系统开展互联网药品专项信息监测工作，编写</w:t>
            </w:r>
            <w:proofErr w:type="gramStart"/>
            <w:r>
              <w:rPr>
                <w:rFonts w:ascii="宋体" w:hAnsi="宋体" w:cs="宋体" w:hint="eastAsia"/>
                <w:color w:val="000000"/>
                <w:kern w:val="0"/>
                <w:sz w:val="20"/>
                <w:szCs w:val="20"/>
                <w:lang w:bidi="ar"/>
              </w:rPr>
              <w:t>每日专项</w:t>
            </w:r>
            <w:proofErr w:type="gramEnd"/>
            <w:r>
              <w:rPr>
                <w:rFonts w:ascii="宋体" w:hAnsi="宋体" w:cs="宋体" w:hint="eastAsia"/>
                <w:color w:val="000000"/>
                <w:kern w:val="0"/>
                <w:sz w:val="20"/>
                <w:szCs w:val="20"/>
                <w:lang w:bidi="ar"/>
              </w:rPr>
              <w:t>信息监测报告，按照要求开展专项信息监测，编写月度、年度专项信息监测报告等；通过专业的信息获取途径以及文献研究与资料分析的方法，深入了解“两品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领域的法律法规、关键管理措施和最新监管技术发展等信息，为开展各项工作提供行业信息参考；通过参加药品监管研讨和学术交流活动，逐步提高人员队伍的业务素质能力。开展各类信息采集、整理、综合利用以及药品监管领域政策创新与研究工作，注重将科技信息化与监测能力建设紧密融合，支撑业务工作的正常开展。</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通过专项信息监</w:t>
            </w:r>
            <w:r>
              <w:rPr>
                <w:rFonts w:ascii="宋体" w:hAnsi="宋体" w:cs="宋体" w:hint="eastAsia"/>
                <w:color w:val="000000"/>
                <w:kern w:val="0"/>
                <w:sz w:val="20"/>
                <w:szCs w:val="20"/>
                <w:lang w:bidi="ar"/>
              </w:rPr>
              <w:t>测系统开展了互联网药品专项信息监测工作，按照要求开展了专项信息监测，全年共监测专项信息约</w:t>
            </w:r>
            <w:r>
              <w:rPr>
                <w:rFonts w:ascii="宋体" w:hAnsi="宋体" w:cs="宋体" w:hint="eastAsia"/>
                <w:color w:val="000000"/>
                <w:kern w:val="0"/>
                <w:sz w:val="20"/>
                <w:szCs w:val="20"/>
                <w:lang w:bidi="ar"/>
              </w:rPr>
              <w:t>399</w:t>
            </w:r>
            <w:r>
              <w:rPr>
                <w:rFonts w:ascii="宋体" w:hAnsi="宋体" w:cs="宋体" w:hint="eastAsia"/>
                <w:color w:val="000000"/>
                <w:kern w:val="0"/>
                <w:sz w:val="20"/>
                <w:szCs w:val="20"/>
                <w:lang w:bidi="ar"/>
              </w:rPr>
              <w:t>万条，推送专项信息约</w:t>
            </w:r>
            <w:r>
              <w:rPr>
                <w:rFonts w:ascii="宋体" w:hAnsi="宋体" w:cs="宋体" w:hint="eastAsia"/>
                <w:color w:val="000000"/>
                <w:kern w:val="0"/>
                <w:sz w:val="20"/>
                <w:szCs w:val="20"/>
                <w:lang w:bidi="ar"/>
              </w:rPr>
              <w:t>8673</w:t>
            </w:r>
            <w:r>
              <w:rPr>
                <w:rFonts w:ascii="宋体" w:hAnsi="宋体" w:cs="宋体" w:hint="eastAsia"/>
                <w:color w:val="000000"/>
                <w:kern w:val="0"/>
                <w:sz w:val="20"/>
                <w:szCs w:val="20"/>
                <w:lang w:bidi="ar"/>
              </w:rPr>
              <w:t>条，编写了日度、月度、年度专项信息监测报告等，其中编制《每日药监专项信息》</w:t>
            </w:r>
            <w:r>
              <w:rPr>
                <w:rFonts w:ascii="宋体" w:hAnsi="宋体" w:cs="宋体" w:hint="eastAsia"/>
                <w:color w:val="000000"/>
                <w:kern w:val="0"/>
                <w:sz w:val="20"/>
                <w:szCs w:val="20"/>
                <w:lang w:bidi="ar"/>
              </w:rPr>
              <w:t>267</w:t>
            </w:r>
            <w:r>
              <w:rPr>
                <w:rFonts w:ascii="宋体" w:hAnsi="宋体" w:cs="宋体" w:hint="eastAsia"/>
                <w:color w:val="000000"/>
                <w:kern w:val="0"/>
                <w:sz w:val="20"/>
                <w:szCs w:val="20"/>
                <w:lang w:bidi="ar"/>
              </w:rPr>
              <w:t>期、专项监测报告</w:t>
            </w:r>
            <w:r>
              <w:rPr>
                <w:rFonts w:ascii="宋体" w:hAnsi="宋体" w:cs="宋体" w:hint="eastAsia"/>
                <w:color w:val="000000"/>
                <w:kern w:val="0"/>
                <w:sz w:val="20"/>
                <w:szCs w:val="20"/>
                <w:lang w:bidi="ar"/>
              </w:rPr>
              <w:t>232</w:t>
            </w:r>
            <w:r>
              <w:rPr>
                <w:rFonts w:ascii="宋体" w:hAnsi="宋体" w:cs="宋体" w:hint="eastAsia"/>
                <w:color w:val="000000"/>
                <w:kern w:val="0"/>
                <w:sz w:val="20"/>
                <w:szCs w:val="20"/>
                <w:lang w:bidi="ar"/>
              </w:rPr>
              <w:t>份，日报收录专项信息共计</w:t>
            </w:r>
            <w:r>
              <w:rPr>
                <w:rFonts w:ascii="宋体" w:hAnsi="宋体" w:cs="宋体" w:hint="eastAsia"/>
                <w:color w:val="000000"/>
                <w:kern w:val="0"/>
                <w:sz w:val="20"/>
                <w:szCs w:val="20"/>
                <w:lang w:bidi="ar"/>
              </w:rPr>
              <w:t>1558</w:t>
            </w:r>
            <w:r>
              <w:rPr>
                <w:rFonts w:ascii="宋体" w:hAnsi="宋体" w:cs="宋体" w:hint="eastAsia"/>
                <w:color w:val="000000"/>
                <w:kern w:val="0"/>
                <w:sz w:val="20"/>
                <w:szCs w:val="20"/>
                <w:lang w:bidi="ar"/>
              </w:rPr>
              <w:t>条，其中负面</w:t>
            </w:r>
            <w:r>
              <w:rPr>
                <w:rFonts w:ascii="宋体" w:hAnsi="宋体" w:cs="宋体" w:hint="eastAsia"/>
                <w:color w:val="000000"/>
                <w:kern w:val="0"/>
                <w:sz w:val="20"/>
                <w:szCs w:val="20"/>
                <w:lang w:bidi="ar"/>
              </w:rPr>
              <w:t>99</w:t>
            </w:r>
            <w:r>
              <w:rPr>
                <w:rFonts w:ascii="宋体" w:hAnsi="宋体" w:cs="宋体" w:hint="eastAsia"/>
                <w:color w:val="000000"/>
                <w:kern w:val="0"/>
                <w:sz w:val="20"/>
                <w:szCs w:val="20"/>
                <w:lang w:bidi="ar"/>
              </w:rPr>
              <w:t>条，中性</w:t>
            </w:r>
            <w:r>
              <w:rPr>
                <w:rFonts w:ascii="宋体" w:hAnsi="宋体" w:cs="宋体" w:hint="eastAsia"/>
                <w:color w:val="000000"/>
                <w:kern w:val="0"/>
                <w:sz w:val="20"/>
                <w:szCs w:val="20"/>
                <w:lang w:bidi="ar"/>
              </w:rPr>
              <w:t>271</w:t>
            </w:r>
            <w:r>
              <w:rPr>
                <w:rFonts w:ascii="宋体" w:hAnsi="宋体" w:cs="宋体" w:hint="eastAsia"/>
                <w:color w:val="000000"/>
                <w:kern w:val="0"/>
                <w:sz w:val="20"/>
                <w:szCs w:val="20"/>
                <w:lang w:bidi="ar"/>
              </w:rPr>
              <w:t>条，正面</w:t>
            </w:r>
            <w:r>
              <w:rPr>
                <w:rFonts w:ascii="宋体" w:hAnsi="宋体" w:cs="宋体" w:hint="eastAsia"/>
                <w:color w:val="000000"/>
                <w:kern w:val="0"/>
                <w:sz w:val="20"/>
                <w:szCs w:val="20"/>
                <w:lang w:bidi="ar"/>
              </w:rPr>
              <w:t>1188</w:t>
            </w:r>
            <w:r>
              <w:rPr>
                <w:rFonts w:ascii="宋体" w:hAnsi="宋体" w:cs="宋体" w:hint="eastAsia"/>
                <w:color w:val="000000"/>
                <w:kern w:val="0"/>
                <w:sz w:val="20"/>
                <w:szCs w:val="20"/>
                <w:lang w:bidi="ar"/>
              </w:rPr>
              <w:t>条；通过专业的信息获取途径以及文献研究与资料分析的方法，深入了解“两品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械”领域的法律法规、关键管理措施和最新监管技术发展等信息，为开展各项工作提供了行业信息参考；通过参加药品监管研讨和学术交流活动，逐步提高了</w:t>
            </w:r>
            <w:r>
              <w:rPr>
                <w:rFonts w:ascii="宋体" w:hAnsi="宋体" w:cs="宋体" w:hint="eastAsia"/>
                <w:color w:val="000000"/>
                <w:kern w:val="0"/>
                <w:sz w:val="20"/>
                <w:szCs w:val="20"/>
                <w:lang w:bidi="ar"/>
              </w:rPr>
              <w:t>人员队伍的业务素质能力。开展了</w:t>
            </w:r>
            <w:r>
              <w:rPr>
                <w:rFonts w:ascii="宋体" w:hAnsi="宋体" w:cs="宋体" w:hint="eastAsia"/>
                <w:color w:val="000000"/>
                <w:kern w:val="0"/>
                <w:sz w:val="20"/>
                <w:szCs w:val="20"/>
                <w:lang w:bidi="ar"/>
              </w:rPr>
              <w:lastRenderedPageBreak/>
              <w:t>各类信息采集、整理、综合利用以及药品监管领域政策创新与研究工作，注重将科技信息化与监测能力建设紧密融合，支撑了业务工作的正常开展。</w:t>
            </w:r>
          </w:p>
        </w:tc>
      </w:tr>
      <w:tr w:rsidR="00681CED">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681CED">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编写专项信息日报、专项信息专题数量</w:t>
            </w: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220</w:t>
            </w:r>
            <w:r>
              <w:rPr>
                <w:rFonts w:ascii="宋体" w:hAnsi="宋体" w:cs="宋体" w:hint="eastAsia"/>
                <w:color w:val="000000"/>
                <w:kern w:val="0"/>
                <w:sz w:val="20"/>
                <w:szCs w:val="20"/>
                <w:lang w:bidi="ar"/>
              </w:rPr>
              <w:t>份</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499</w:t>
            </w:r>
            <w:r>
              <w:rPr>
                <w:rFonts w:ascii="宋体" w:hAnsi="宋体" w:cs="宋体" w:hint="eastAsia"/>
                <w:color w:val="000000"/>
                <w:kern w:val="0"/>
                <w:sz w:val="20"/>
                <w:szCs w:val="20"/>
                <w:lang w:bidi="ar"/>
              </w:rPr>
              <w:t>份</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药品安全监测工作北京元素覆盖率</w:t>
            </w: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重大信息异常监测反馈时效</w:t>
            </w: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小时</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小时</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互联网药品专项信息监测月均预算控制数</w:t>
            </w: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2.405</w:t>
            </w:r>
            <w:r>
              <w:rPr>
                <w:rFonts w:ascii="宋体" w:hAnsi="宋体" w:cs="宋体" w:hint="eastAsia"/>
                <w:color w:val="000000"/>
                <w:kern w:val="0"/>
                <w:sz w:val="20"/>
                <w:szCs w:val="20"/>
                <w:lang w:bidi="ar"/>
              </w:rPr>
              <w:t>万元</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2.405</w:t>
            </w:r>
            <w:r>
              <w:rPr>
                <w:rFonts w:ascii="宋体" w:hAnsi="宋体" w:cs="宋体" w:hint="eastAsia"/>
                <w:color w:val="000000"/>
                <w:kern w:val="0"/>
                <w:sz w:val="20"/>
                <w:szCs w:val="20"/>
                <w:lang w:bidi="ar"/>
              </w:rPr>
              <w:t>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nil"/>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专项信息监测预警信息报送率</w:t>
            </w: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97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3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对互联网药品监管能力的影响</w:t>
            </w: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个领域互联网监管提供数据支持，提升信息监测能力</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个领域互联网监管提供了数据支持，提升了信息监测能力</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3300"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行业报告使用部门满意度</w:t>
            </w:r>
          </w:p>
        </w:tc>
        <w:tc>
          <w:tcPr>
            <w:tcW w:w="2460" w:type="dxa"/>
            <w:gridSpan w:val="2"/>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87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402"/>
        </w:trPr>
        <w:tc>
          <w:tcPr>
            <w:tcW w:w="1098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99.63 </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b/>
                <w:color w:val="000000"/>
                <w:sz w:val="20"/>
                <w:szCs w:val="20"/>
              </w:rPr>
            </w:pPr>
          </w:p>
        </w:tc>
      </w:tr>
    </w:tbl>
    <w:p w:rsidR="00681CED" w:rsidRDefault="000E5CF5">
      <w:r>
        <w:rPr>
          <w:rFonts w:hint="eastAsia"/>
        </w:rPr>
        <w:br w:type="page"/>
      </w:r>
    </w:p>
    <w:p w:rsidR="00681CED" w:rsidRDefault="000E5CF5">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lastRenderedPageBreak/>
        <w:t>技术咨询与政策研究指导经费</w:t>
      </w:r>
    </w:p>
    <w:p w:rsidR="00681CED" w:rsidRDefault="000E5CF5">
      <w:pPr>
        <w:pStyle w:val="a0"/>
        <w:ind w:firstLine="560"/>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2024</w:t>
      </w:r>
      <w:r>
        <w:rPr>
          <w:rFonts w:ascii="仿宋_GB2312" w:eastAsia="仿宋_GB2312" w:hAnsi="宋体" w:hint="eastAsia"/>
          <w:sz w:val="28"/>
          <w:szCs w:val="28"/>
        </w:rPr>
        <w:t>年度）</w:t>
      </w:r>
    </w:p>
    <w:tbl>
      <w:tblPr>
        <w:tblW w:w="14839" w:type="dxa"/>
        <w:tblInd w:w="93" w:type="dxa"/>
        <w:tblLook w:val="04A0" w:firstRow="1" w:lastRow="0" w:firstColumn="1" w:lastColumn="0" w:noHBand="0" w:noVBand="1"/>
      </w:tblPr>
      <w:tblGrid>
        <w:gridCol w:w="744"/>
        <w:gridCol w:w="1140"/>
        <w:gridCol w:w="1415"/>
        <w:gridCol w:w="2918"/>
        <w:gridCol w:w="1021"/>
        <w:gridCol w:w="1622"/>
        <w:gridCol w:w="2277"/>
        <w:gridCol w:w="1068"/>
        <w:gridCol w:w="1139"/>
        <w:gridCol w:w="1495"/>
      </w:tblGrid>
      <w:tr w:rsidR="00681CED">
        <w:trPr>
          <w:trHeight w:val="540"/>
        </w:trPr>
        <w:tc>
          <w:tcPr>
            <w:tcW w:w="315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68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技术咨询与政策研究指导经费</w:t>
            </w:r>
          </w:p>
        </w:tc>
      </w:tr>
      <w:tr w:rsidR="00681CED">
        <w:trPr>
          <w:trHeight w:val="540"/>
        </w:trPr>
        <w:tc>
          <w:tcPr>
            <w:tcW w:w="315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6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2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北京市药品网络监测分析中心</w:t>
            </w:r>
          </w:p>
        </w:tc>
      </w:tr>
      <w:tr w:rsidR="00681CED">
        <w:trPr>
          <w:trHeight w:val="901"/>
        </w:trPr>
        <w:tc>
          <w:tcPr>
            <w:tcW w:w="315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1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681CED">
        <w:trPr>
          <w:trHeight w:val="540"/>
        </w:trPr>
        <w:tc>
          <w:tcPr>
            <w:tcW w:w="315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0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7.8</w:t>
            </w:r>
          </w:p>
        </w:tc>
        <w:tc>
          <w:tcPr>
            <w:tcW w:w="1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7.8</w:t>
            </w:r>
          </w:p>
        </w:tc>
        <w:tc>
          <w:tcPr>
            <w:tcW w:w="23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7.8</w:t>
            </w: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1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5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681CED">
        <w:trPr>
          <w:trHeight w:val="540"/>
        </w:trPr>
        <w:tc>
          <w:tcPr>
            <w:tcW w:w="315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0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7.8</w:t>
            </w:r>
          </w:p>
        </w:tc>
        <w:tc>
          <w:tcPr>
            <w:tcW w:w="1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7.8</w:t>
            </w:r>
          </w:p>
        </w:tc>
        <w:tc>
          <w:tcPr>
            <w:tcW w:w="23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7.8</w:t>
            </w: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1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r>
      <w:tr w:rsidR="00681CED">
        <w:trPr>
          <w:trHeight w:val="540"/>
        </w:trPr>
        <w:tc>
          <w:tcPr>
            <w:tcW w:w="315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0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23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1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r>
      <w:tr w:rsidR="00681CED">
        <w:trPr>
          <w:trHeight w:val="540"/>
        </w:trPr>
        <w:tc>
          <w:tcPr>
            <w:tcW w:w="315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r>
      <w:tr w:rsidR="00681CED">
        <w:trPr>
          <w:trHeight w:val="540"/>
        </w:trPr>
        <w:tc>
          <w:tcPr>
            <w:tcW w:w="56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8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0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81CED">
        <w:trPr>
          <w:trHeight w:val="2353"/>
        </w:trPr>
        <w:tc>
          <w:tcPr>
            <w:tcW w:w="569"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8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通过开展药品监管领域政策创新与研究工作，邀请专家学者进行工作指导，对药品监管工作研究期刊进行质量把关，提供政策咨询、研究方法与理论指导等。</w:t>
            </w:r>
          </w:p>
        </w:tc>
        <w:tc>
          <w:tcPr>
            <w:tcW w:w="60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通过开展药品监管领域政策创新与研究工作，邀请了南开大学教授等专家学者进行工作指导，对</w:t>
            </w:r>
            <w:r>
              <w:rPr>
                <w:rFonts w:ascii="宋体" w:hAnsi="宋体" w:cs="宋体" w:hint="eastAsia"/>
                <w:color w:val="000000"/>
                <w:kern w:val="0"/>
                <w:sz w:val="20"/>
                <w:szCs w:val="20"/>
                <w:lang w:bidi="ar"/>
              </w:rPr>
              <w:t>14</w:t>
            </w:r>
            <w:r>
              <w:rPr>
                <w:rFonts w:ascii="宋体" w:hAnsi="宋体" w:cs="宋体" w:hint="eastAsia"/>
                <w:color w:val="000000"/>
                <w:kern w:val="0"/>
                <w:sz w:val="20"/>
                <w:szCs w:val="20"/>
                <w:lang w:bidi="ar"/>
              </w:rPr>
              <w:t>期《工作研究》、</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期《专题报告》等药品监管工作研究期刊进行了质量把关，提供了</w:t>
            </w:r>
            <w:r>
              <w:rPr>
                <w:rFonts w:ascii="宋体" w:hAnsi="宋体" w:cs="宋体" w:hint="eastAsia"/>
                <w:color w:val="000000"/>
                <w:kern w:val="0"/>
                <w:sz w:val="20"/>
                <w:szCs w:val="20"/>
                <w:lang w:bidi="ar"/>
              </w:rPr>
              <w:t>19</w:t>
            </w:r>
            <w:r>
              <w:rPr>
                <w:rFonts w:ascii="宋体" w:hAnsi="宋体" w:cs="宋体" w:hint="eastAsia"/>
                <w:color w:val="000000"/>
                <w:kern w:val="0"/>
                <w:sz w:val="20"/>
                <w:szCs w:val="20"/>
                <w:lang w:bidi="ar"/>
              </w:rPr>
              <w:t>次政策咨询、研究方法与理论指导等，为两品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械的政策研究创新工作提供了政策咨询、理论指导及工作建议，提高了干部职工两品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械的监管工作水平。</w:t>
            </w:r>
          </w:p>
        </w:tc>
      </w:tr>
      <w:tr w:rsidR="00681CED">
        <w:trPr>
          <w:trHeight w:val="901"/>
        </w:trPr>
        <w:tc>
          <w:tcPr>
            <w:tcW w:w="56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绩效指标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2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1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681CED">
        <w:trPr>
          <w:trHeight w:val="619"/>
        </w:trPr>
        <w:tc>
          <w:tcPr>
            <w:tcW w:w="569"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155" w:type="dxa"/>
            <w:vMerge w:val="restart"/>
            <w:tcBorders>
              <w:top w:val="single" w:sz="4" w:space="0" w:color="000000"/>
              <w:left w:val="single" w:sz="4" w:space="0" w:color="000000"/>
              <w:bottom w:val="nil"/>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专家审核与咨询次数</w:t>
            </w:r>
          </w:p>
        </w:tc>
        <w:tc>
          <w:tcPr>
            <w:tcW w:w="2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w:t>
            </w:r>
            <w:r>
              <w:rPr>
                <w:rFonts w:ascii="宋体" w:hAnsi="宋体" w:cs="宋体" w:hint="eastAsia"/>
                <w:color w:val="000000"/>
                <w:kern w:val="0"/>
                <w:sz w:val="20"/>
                <w:szCs w:val="20"/>
                <w:lang w:bidi="ar"/>
              </w:rPr>
              <w:t>人次</w:t>
            </w:r>
          </w:p>
        </w:tc>
        <w:tc>
          <w:tcPr>
            <w:tcW w:w="2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w:t>
            </w:r>
            <w:r>
              <w:rPr>
                <w:rFonts w:ascii="宋体" w:hAnsi="宋体" w:cs="宋体" w:hint="eastAsia"/>
                <w:color w:val="000000"/>
                <w:kern w:val="0"/>
                <w:sz w:val="20"/>
                <w:szCs w:val="20"/>
                <w:lang w:bidi="ar"/>
              </w:rPr>
              <w:t>人次</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1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901"/>
        </w:trPr>
        <w:tc>
          <w:tcPr>
            <w:tcW w:w="569"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155" w:type="dxa"/>
            <w:vMerge/>
            <w:tcBorders>
              <w:top w:val="single" w:sz="4" w:space="0" w:color="000000"/>
              <w:left w:val="single" w:sz="4" w:space="0" w:color="000000"/>
              <w:bottom w:val="nil"/>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工作研究等专题报告的指导和建议完成度</w:t>
            </w:r>
          </w:p>
        </w:tc>
        <w:tc>
          <w:tcPr>
            <w:tcW w:w="2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2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1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19"/>
        </w:trPr>
        <w:tc>
          <w:tcPr>
            <w:tcW w:w="569"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155" w:type="dxa"/>
            <w:vMerge/>
            <w:tcBorders>
              <w:top w:val="single" w:sz="4" w:space="0" w:color="000000"/>
              <w:left w:val="single" w:sz="4" w:space="0" w:color="000000"/>
              <w:bottom w:val="nil"/>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提供内容后审核时间</w:t>
            </w:r>
          </w:p>
        </w:tc>
        <w:tc>
          <w:tcPr>
            <w:tcW w:w="2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个工作日</w:t>
            </w:r>
          </w:p>
        </w:tc>
        <w:tc>
          <w:tcPr>
            <w:tcW w:w="2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个工作日</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1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19"/>
        </w:trPr>
        <w:tc>
          <w:tcPr>
            <w:tcW w:w="569"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指导费用平均月成本</w:t>
            </w:r>
          </w:p>
        </w:tc>
        <w:tc>
          <w:tcPr>
            <w:tcW w:w="2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0.65</w:t>
            </w:r>
            <w:r>
              <w:rPr>
                <w:rFonts w:ascii="宋体" w:hAnsi="宋体" w:cs="宋体" w:hint="eastAsia"/>
                <w:color w:val="000000"/>
                <w:kern w:val="0"/>
                <w:sz w:val="20"/>
                <w:szCs w:val="20"/>
                <w:lang w:bidi="ar"/>
              </w:rPr>
              <w:t>万元</w:t>
            </w:r>
          </w:p>
        </w:tc>
        <w:tc>
          <w:tcPr>
            <w:tcW w:w="2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0.65</w:t>
            </w:r>
            <w:r>
              <w:rPr>
                <w:rFonts w:ascii="宋体" w:hAnsi="宋体" w:cs="宋体" w:hint="eastAsia"/>
                <w:color w:val="000000"/>
                <w:kern w:val="0"/>
                <w:sz w:val="20"/>
                <w:szCs w:val="20"/>
                <w:lang w:bidi="ar"/>
              </w:rPr>
              <w:t>万元</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1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1989"/>
        </w:trPr>
        <w:tc>
          <w:tcPr>
            <w:tcW w:w="569"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对政策研究创新工作和干部职工监管工作水平的影响</w:t>
            </w:r>
          </w:p>
        </w:tc>
        <w:tc>
          <w:tcPr>
            <w:tcW w:w="2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个领域的政策研究创新工作提供政策咨询、理论指导及工作建议，提高干部职工</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个领域的监管工作水平</w:t>
            </w:r>
          </w:p>
        </w:tc>
        <w:tc>
          <w:tcPr>
            <w:tcW w:w="2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个领域的政策研究创新工作提供了政策咨询、理论指导及工作建议，提高了干部职工</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个领域的监管工作水平</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1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1625"/>
        </w:trPr>
        <w:tc>
          <w:tcPr>
            <w:tcW w:w="569"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通过采纳药品监管领域专家意见与建议，进一步提升专题报告的</w:t>
            </w:r>
            <w:proofErr w:type="gramStart"/>
            <w:r>
              <w:rPr>
                <w:rFonts w:ascii="宋体" w:hAnsi="宋体" w:cs="宋体" w:hint="eastAsia"/>
                <w:color w:val="000000"/>
                <w:kern w:val="0"/>
                <w:sz w:val="20"/>
                <w:szCs w:val="20"/>
                <w:lang w:bidi="ar"/>
              </w:rPr>
              <w:t>咨</w:t>
            </w:r>
            <w:proofErr w:type="gramEnd"/>
            <w:r>
              <w:rPr>
                <w:rFonts w:ascii="宋体" w:hAnsi="宋体" w:cs="宋体" w:hint="eastAsia"/>
                <w:color w:val="000000"/>
                <w:kern w:val="0"/>
                <w:sz w:val="20"/>
                <w:szCs w:val="20"/>
                <w:lang w:bidi="ar"/>
              </w:rPr>
              <w:t>政建言作用，为药品监管工作提供学术及政策信息参考</w:t>
            </w:r>
          </w:p>
        </w:tc>
        <w:tc>
          <w:tcPr>
            <w:tcW w:w="2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达到预期目标</w:t>
            </w:r>
          </w:p>
        </w:tc>
        <w:tc>
          <w:tcPr>
            <w:tcW w:w="2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达到预期目标</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1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901"/>
        </w:trPr>
        <w:tc>
          <w:tcPr>
            <w:tcW w:w="569"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15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43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96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信息服务单位满意度</w:t>
            </w:r>
          </w:p>
        </w:tc>
        <w:tc>
          <w:tcPr>
            <w:tcW w:w="2676" w:type="dxa"/>
            <w:gridSpan w:val="2"/>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2311"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73"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1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560"/>
        </w:trPr>
        <w:tc>
          <w:tcPr>
            <w:tcW w:w="1111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1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b/>
                <w:color w:val="000000"/>
                <w:sz w:val="20"/>
                <w:szCs w:val="20"/>
              </w:rPr>
            </w:pPr>
          </w:p>
        </w:tc>
      </w:tr>
    </w:tbl>
    <w:p w:rsidR="00681CED" w:rsidRDefault="000E5CF5">
      <w:pPr>
        <w:spacing w:line="480" w:lineRule="exact"/>
        <w:jc w:val="center"/>
        <w:rPr>
          <w:rFonts w:ascii="方正小标宋简体" w:eastAsia="方正小标宋简体" w:hAnsi="黑体"/>
          <w:sz w:val="36"/>
          <w:szCs w:val="36"/>
        </w:rPr>
      </w:pPr>
      <w:bookmarkStart w:id="0" w:name="_GoBack"/>
      <w:bookmarkEnd w:id="0"/>
      <w:r>
        <w:rPr>
          <w:rFonts w:ascii="方正小标宋简体" w:eastAsia="方正小标宋简体" w:hAnsi="黑体" w:hint="eastAsia"/>
          <w:sz w:val="36"/>
          <w:szCs w:val="36"/>
        </w:rPr>
        <w:lastRenderedPageBreak/>
        <w:t>网络监测、信息监测及政策研究业务印刷</w:t>
      </w:r>
    </w:p>
    <w:p w:rsidR="00681CED" w:rsidRDefault="000E5CF5">
      <w:pPr>
        <w:pStyle w:val="a0"/>
        <w:ind w:firstLine="560"/>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2024</w:t>
      </w:r>
      <w:r>
        <w:rPr>
          <w:rFonts w:ascii="仿宋_GB2312" w:eastAsia="仿宋_GB2312" w:hAnsi="宋体" w:hint="eastAsia"/>
          <w:sz w:val="28"/>
          <w:szCs w:val="28"/>
        </w:rPr>
        <w:t>年度）</w:t>
      </w:r>
    </w:p>
    <w:tbl>
      <w:tblPr>
        <w:tblW w:w="15375" w:type="dxa"/>
        <w:tblInd w:w="93" w:type="dxa"/>
        <w:tblLook w:val="04A0" w:firstRow="1" w:lastRow="0" w:firstColumn="1" w:lastColumn="0" w:noHBand="0" w:noVBand="1"/>
      </w:tblPr>
      <w:tblGrid>
        <w:gridCol w:w="744"/>
        <w:gridCol w:w="1228"/>
        <w:gridCol w:w="1522"/>
        <w:gridCol w:w="3231"/>
        <w:gridCol w:w="1289"/>
        <w:gridCol w:w="1083"/>
        <w:gridCol w:w="2187"/>
        <w:gridCol w:w="1148"/>
        <w:gridCol w:w="1224"/>
        <w:gridCol w:w="1719"/>
      </w:tblGrid>
      <w:tr w:rsidR="00681CED">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20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网络监测、信息监测及政策研究业务印刷</w:t>
            </w:r>
          </w:p>
        </w:tc>
      </w:tr>
      <w:tr w:rsidR="00681CED">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1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北京市药品网络监测分析中心</w:t>
            </w:r>
          </w:p>
        </w:tc>
      </w:tr>
      <w:tr w:rsidR="00681CED">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3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681CED">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w:t>
            </w:r>
          </w:p>
        </w:tc>
        <w:tc>
          <w:tcPr>
            <w:tcW w:w="10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w:t>
            </w:r>
          </w:p>
        </w:tc>
        <w:tc>
          <w:tcPr>
            <w:tcW w:w="22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7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681CED">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w:t>
            </w:r>
          </w:p>
        </w:tc>
        <w:tc>
          <w:tcPr>
            <w:tcW w:w="10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w:t>
            </w:r>
          </w:p>
        </w:tc>
        <w:tc>
          <w:tcPr>
            <w:tcW w:w="22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7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r>
      <w:tr w:rsidR="00681CED">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0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22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c>
          <w:tcPr>
            <w:tcW w:w="17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681CED">
            <w:pPr>
              <w:jc w:val="center"/>
              <w:rPr>
                <w:rFonts w:ascii="宋体" w:hAnsi="宋体" w:cs="宋体"/>
                <w:color w:val="000000"/>
                <w:sz w:val="20"/>
                <w:szCs w:val="20"/>
              </w:rPr>
            </w:pPr>
          </w:p>
        </w:tc>
      </w:tr>
      <w:tr w:rsidR="00681CED">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r>
      <w:tr w:rsidR="00681CED">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84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3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681CED">
        <w:trPr>
          <w:trHeight w:val="17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84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通过印制并发放《工作研究》《全国两会药品安全信息监测报告》《药品安全信息监测月报》等专题报告，向机关各处室、各分局、各直属事业单位提供信息和数据支持，履职药品监管专项信息监测分析与政策创新与研究职责。</w:t>
            </w:r>
          </w:p>
        </w:tc>
        <w:tc>
          <w:tcPr>
            <w:tcW w:w="63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通过印制并发放了</w:t>
            </w:r>
            <w:r>
              <w:rPr>
                <w:rFonts w:ascii="宋体" w:hAnsi="宋体" w:cs="宋体" w:hint="eastAsia"/>
                <w:color w:val="000000"/>
                <w:kern w:val="0"/>
                <w:sz w:val="20"/>
                <w:szCs w:val="20"/>
                <w:lang w:bidi="ar"/>
              </w:rPr>
              <w:t>2440</w:t>
            </w:r>
            <w:r>
              <w:rPr>
                <w:rFonts w:ascii="宋体" w:hAnsi="宋体" w:cs="宋体" w:hint="eastAsia"/>
                <w:color w:val="000000"/>
                <w:kern w:val="0"/>
                <w:sz w:val="20"/>
                <w:szCs w:val="20"/>
                <w:lang w:bidi="ar"/>
              </w:rPr>
              <w:t>本《工作研究》、《</w:t>
            </w:r>
            <w:r>
              <w:rPr>
                <w:rFonts w:ascii="宋体" w:hAnsi="宋体" w:cs="宋体" w:hint="eastAsia"/>
                <w:color w:val="000000"/>
                <w:kern w:val="0"/>
                <w:sz w:val="20"/>
                <w:szCs w:val="20"/>
                <w:lang w:bidi="ar"/>
              </w:rPr>
              <w:t>2024</w:t>
            </w:r>
            <w:r>
              <w:rPr>
                <w:rFonts w:ascii="宋体" w:hAnsi="宋体" w:cs="宋体" w:hint="eastAsia"/>
                <w:color w:val="000000"/>
                <w:kern w:val="0"/>
                <w:sz w:val="20"/>
                <w:szCs w:val="20"/>
                <w:lang w:bidi="ar"/>
              </w:rPr>
              <w:t>年全国两会药品安全信息监测报告》、《药品安全信息监测月报》等各类专题报告，连续</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月向机关各处室、各分局、各直属事业单位提供了“两品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械”的互联网监管信息和数据支持，履行了“两品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械”监管专项信息监测分析与政策创新与研究职责。</w:t>
            </w:r>
          </w:p>
        </w:tc>
      </w:tr>
      <w:tr w:rsidR="00681CED">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3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681CED">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3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《工作研究》印刷数量</w:t>
            </w:r>
          </w:p>
        </w:tc>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900</w:t>
            </w:r>
            <w:r>
              <w:rPr>
                <w:rFonts w:ascii="宋体" w:hAnsi="宋体" w:cs="宋体" w:hint="eastAsia"/>
                <w:color w:val="000000"/>
                <w:kern w:val="0"/>
                <w:sz w:val="20"/>
                <w:szCs w:val="20"/>
                <w:lang w:bidi="ar"/>
              </w:rPr>
              <w:t>本</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900</w:t>
            </w:r>
            <w:r>
              <w:rPr>
                <w:rFonts w:ascii="宋体" w:hAnsi="宋体" w:cs="宋体" w:hint="eastAsia"/>
                <w:color w:val="000000"/>
                <w:kern w:val="0"/>
                <w:sz w:val="20"/>
                <w:szCs w:val="20"/>
                <w:lang w:bidi="ar"/>
              </w:rPr>
              <w:t>本</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3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印刷品质量合格率</w:t>
            </w:r>
          </w:p>
        </w:tc>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681CED" w:rsidRDefault="00681CED">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3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提供终稿后印刷成品时间</w:t>
            </w:r>
          </w:p>
        </w:tc>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w:t>
            </w:r>
            <w:r>
              <w:rPr>
                <w:rFonts w:ascii="宋体" w:hAnsi="宋体" w:cs="宋体" w:hint="eastAsia"/>
                <w:color w:val="000000"/>
                <w:kern w:val="0"/>
                <w:sz w:val="20"/>
                <w:szCs w:val="20"/>
                <w:lang w:bidi="ar"/>
              </w:rPr>
              <w:t>个工作日</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w:t>
            </w:r>
            <w:r>
              <w:rPr>
                <w:rFonts w:ascii="宋体" w:hAnsi="宋体" w:cs="宋体" w:hint="eastAsia"/>
                <w:color w:val="000000"/>
                <w:kern w:val="0"/>
                <w:sz w:val="20"/>
                <w:szCs w:val="20"/>
                <w:lang w:bidi="ar"/>
              </w:rPr>
              <w:t>个工作日</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3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《工作研究》印刷品成本单价</w:t>
            </w:r>
          </w:p>
        </w:tc>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36.5</w:t>
            </w:r>
            <w:r>
              <w:rPr>
                <w:rFonts w:ascii="宋体" w:hAnsi="宋体" w:cs="宋体" w:hint="eastAsia"/>
                <w:color w:val="000000"/>
                <w:kern w:val="0"/>
                <w:sz w:val="20"/>
                <w:szCs w:val="20"/>
                <w:lang w:bidi="ar"/>
              </w:rPr>
              <w:t>元</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36.5</w:t>
            </w:r>
            <w:r>
              <w:rPr>
                <w:rFonts w:ascii="宋体" w:hAnsi="宋体" w:cs="宋体" w:hint="eastAsia"/>
                <w:color w:val="000000"/>
                <w:kern w:val="0"/>
                <w:sz w:val="20"/>
                <w:szCs w:val="20"/>
                <w:lang w:bidi="ar"/>
              </w:rPr>
              <w:t>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99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tcBorders>
              <w:top w:val="single" w:sz="4" w:space="0" w:color="000000"/>
              <w:left w:val="single" w:sz="4" w:space="0" w:color="000000"/>
              <w:bottom w:val="nil"/>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nil"/>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3285" w:type="dxa"/>
            <w:tcBorders>
              <w:top w:val="single" w:sz="4" w:space="0" w:color="000000"/>
              <w:left w:val="single" w:sz="4" w:space="0" w:color="000000"/>
              <w:bottom w:val="nil"/>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对药品监管工作的影响</w:t>
            </w:r>
          </w:p>
        </w:tc>
        <w:tc>
          <w:tcPr>
            <w:tcW w:w="2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个领域互联网监管提供数据支持，提升信息监测能力</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个领域互联网监管提供了数据支持，提升了信息监测能力</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18"/>
                <w:szCs w:val="18"/>
              </w:rPr>
            </w:pPr>
            <w:r>
              <w:rPr>
                <w:rStyle w:val="font41"/>
                <w:rFonts w:hint="default"/>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18"/>
                <w:szCs w:val="18"/>
              </w:rPr>
            </w:pPr>
            <w:r>
              <w:rPr>
                <w:rStyle w:val="font41"/>
                <w:rFonts w:hint="default"/>
                <w:lang w:bidi="ar"/>
              </w:rPr>
              <w:t>社会效益指标</w:t>
            </w:r>
          </w:p>
        </w:tc>
        <w:tc>
          <w:tcPr>
            <w:tcW w:w="3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印刷品发放完成率</w:t>
            </w:r>
          </w:p>
        </w:tc>
        <w:tc>
          <w:tcPr>
            <w:tcW w:w="2400" w:type="dxa"/>
            <w:gridSpan w:val="2"/>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2220"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81CED" w:rsidRDefault="00681CED">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328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《工作研究》信息服务单位满意度</w:t>
            </w:r>
          </w:p>
        </w:tc>
        <w:tc>
          <w:tcPr>
            <w:tcW w:w="2400" w:type="dxa"/>
            <w:gridSpan w:val="2"/>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2220"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color w:val="000000"/>
                <w:sz w:val="20"/>
                <w:szCs w:val="20"/>
              </w:rPr>
            </w:pPr>
          </w:p>
        </w:tc>
      </w:tr>
      <w:tr w:rsidR="00681CED">
        <w:trPr>
          <w:trHeight w:val="402"/>
        </w:trPr>
        <w:tc>
          <w:tcPr>
            <w:tcW w:w="112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0E5CF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CED" w:rsidRDefault="00681CED">
            <w:pPr>
              <w:rPr>
                <w:rFonts w:ascii="宋体" w:hAnsi="宋体" w:cs="宋体"/>
                <w:b/>
                <w:color w:val="000000"/>
                <w:sz w:val="20"/>
                <w:szCs w:val="20"/>
              </w:rPr>
            </w:pPr>
          </w:p>
        </w:tc>
      </w:tr>
    </w:tbl>
    <w:p w:rsidR="00681CED" w:rsidRDefault="00681CED"/>
    <w:p w:rsidR="00681CED" w:rsidRDefault="00681CED">
      <w:pPr>
        <w:spacing w:line="480" w:lineRule="exact"/>
        <w:rPr>
          <w:rFonts w:ascii="仿宋_GB2312" w:eastAsia="仿宋_GB2312" w:hAnsi="仿宋_GB2312" w:cs="仿宋_GB2312"/>
          <w:sz w:val="32"/>
          <w:szCs w:val="32"/>
        </w:rPr>
      </w:pPr>
    </w:p>
    <w:p w:rsidR="00681CED" w:rsidRDefault="00681CED">
      <w:pPr>
        <w:spacing w:line="480" w:lineRule="exact"/>
      </w:pPr>
    </w:p>
    <w:sectPr w:rsidR="00681CED">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CF5" w:rsidRDefault="000E5CF5">
      <w:pPr>
        <w:spacing w:line="240" w:lineRule="auto"/>
      </w:pPr>
      <w:r>
        <w:separator/>
      </w:r>
    </w:p>
  </w:endnote>
  <w:endnote w:type="continuationSeparator" w:id="0">
    <w:p w:rsidR="000E5CF5" w:rsidRDefault="000E5C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CED" w:rsidRDefault="000E5CF5">
    <w:pPr>
      <w:pStyle w:val="a7"/>
      <w:framePr w:wrap="around" w:vAnchor="text" w:hAnchor="margin" w:xAlign="center" w:y="1"/>
      <w:rPr>
        <w:rStyle w:val="ab"/>
      </w:rPr>
    </w:pPr>
    <w:r>
      <w:fldChar w:fldCharType="begin"/>
    </w:r>
    <w:r>
      <w:rPr>
        <w:rStyle w:val="ab"/>
      </w:rPr>
      <w:instrText xml:space="preserve">PAGE  </w:instrText>
    </w:r>
    <w:r>
      <w:fldChar w:fldCharType="separate"/>
    </w:r>
    <w:r w:rsidR="0028415D">
      <w:rPr>
        <w:rStyle w:val="ab"/>
        <w:noProof/>
      </w:rPr>
      <w:t>3</w:t>
    </w:r>
    <w:r>
      <w:fldChar w:fldCharType="end"/>
    </w:r>
  </w:p>
  <w:p w:rsidR="00681CED" w:rsidRDefault="00681CE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CED" w:rsidRDefault="000E5CF5">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681CED" w:rsidRDefault="00681CE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CED" w:rsidRDefault="000E5CF5">
    <w:pPr>
      <w:pStyle w:val="a7"/>
      <w:framePr w:wrap="around" w:vAnchor="text" w:hAnchor="margin" w:xAlign="center" w:y="1"/>
      <w:rPr>
        <w:rStyle w:val="ab"/>
      </w:rPr>
    </w:pPr>
    <w:r>
      <w:fldChar w:fldCharType="begin"/>
    </w:r>
    <w:r>
      <w:rPr>
        <w:rStyle w:val="ab"/>
      </w:rPr>
      <w:instrText xml:space="preserve">PAGE  </w:instrText>
    </w:r>
    <w:r>
      <w:fldChar w:fldCharType="separate"/>
    </w:r>
    <w:r w:rsidR="00737778">
      <w:rPr>
        <w:rStyle w:val="ab"/>
        <w:noProof/>
      </w:rPr>
      <w:t>20</w:t>
    </w:r>
    <w:r>
      <w:fldChar w:fldCharType="end"/>
    </w:r>
  </w:p>
  <w:p w:rsidR="00681CED" w:rsidRDefault="00681CE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CF5" w:rsidRDefault="000E5CF5">
      <w:pPr>
        <w:spacing w:line="240" w:lineRule="auto"/>
      </w:pPr>
      <w:r>
        <w:separator/>
      </w:r>
    </w:p>
  </w:footnote>
  <w:footnote w:type="continuationSeparator" w:id="0">
    <w:p w:rsidR="000E5CF5" w:rsidRDefault="000E5CF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DFB77C74"/>
    <w:rsid w:val="DFDE3117"/>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603"/>
    <w:rsid w:val="000D1B61"/>
    <w:rsid w:val="000D6854"/>
    <w:rsid w:val="000E0B26"/>
    <w:rsid w:val="000E3291"/>
    <w:rsid w:val="000E5CF5"/>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397D"/>
    <w:rsid w:val="00135B6A"/>
    <w:rsid w:val="001369A7"/>
    <w:rsid w:val="001428C5"/>
    <w:rsid w:val="001503D8"/>
    <w:rsid w:val="00157540"/>
    <w:rsid w:val="0017111F"/>
    <w:rsid w:val="00173CF6"/>
    <w:rsid w:val="00180DAD"/>
    <w:rsid w:val="0018370E"/>
    <w:rsid w:val="001852E1"/>
    <w:rsid w:val="00191568"/>
    <w:rsid w:val="00194683"/>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E3AA4"/>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57F7A"/>
    <w:rsid w:val="0026479D"/>
    <w:rsid w:val="002673C4"/>
    <w:rsid w:val="0027112B"/>
    <w:rsid w:val="00271C3F"/>
    <w:rsid w:val="00272460"/>
    <w:rsid w:val="00273070"/>
    <w:rsid w:val="0027394A"/>
    <w:rsid w:val="00274D50"/>
    <w:rsid w:val="002760D5"/>
    <w:rsid w:val="00276289"/>
    <w:rsid w:val="0028081D"/>
    <w:rsid w:val="0028415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BA5"/>
    <w:rsid w:val="00320C8B"/>
    <w:rsid w:val="00321BD8"/>
    <w:rsid w:val="00325687"/>
    <w:rsid w:val="00332C14"/>
    <w:rsid w:val="00335079"/>
    <w:rsid w:val="003352CE"/>
    <w:rsid w:val="00341D8E"/>
    <w:rsid w:val="00345B76"/>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0BEE"/>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2D95"/>
    <w:rsid w:val="0047460C"/>
    <w:rsid w:val="00474FF2"/>
    <w:rsid w:val="00480098"/>
    <w:rsid w:val="00484A93"/>
    <w:rsid w:val="00485E12"/>
    <w:rsid w:val="004865DA"/>
    <w:rsid w:val="0048779C"/>
    <w:rsid w:val="00487AB7"/>
    <w:rsid w:val="00487ED0"/>
    <w:rsid w:val="00491D09"/>
    <w:rsid w:val="00492F2D"/>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6EF2"/>
    <w:rsid w:val="00507E59"/>
    <w:rsid w:val="005122B5"/>
    <w:rsid w:val="0052381C"/>
    <w:rsid w:val="005346B3"/>
    <w:rsid w:val="0054051C"/>
    <w:rsid w:val="00546A84"/>
    <w:rsid w:val="005474EA"/>
    <w:rsid w:val="00547BE2"/>
    <w:rsid w:val="0055353D"/>
    <w:rsid w:val="00560593"/>
    <w:rsid w:val="0056187C"/>
    <w:rsid w:val="00575757"/>
    <w:rsid w:val="00576B03"/>
    <w:rsid w:val="00581E1A"/>
    <w:rsid w:val="00591655"/>
    <w:rsid w:val="00591BEC"/>
    <w:rsid w:val="005940EA"/>
    <w:rsid w:val="00594448"/>
    <w:rsid w:val="00597146"/>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81CED"/>
    <w:rsid w:val="00690641"/>
    <w:rsid w:val="00690D88"/>
    <w:rsid w:val="00691844"/>
    <w:rsid w:val="00693DDF"/>
    <w:rsid w:val="00696F9E"/>
    <w:rsid w:val="006A374A"/>
    <w:rsid w:val="006A505E"/>
    <w:rsid w:val="006A513E"/>
    <w:rsid w:val="006A5265"/>
    <w:rsid w:val="006B0CB9"/>
    <w:rsid w:val="006B113E"/>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32454"/>
    <w:rsid w:val="00737778"/>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86A8D"/>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0621"/>
    <w:rsid w:val="009057DE"/>
    <w:rsid w:val="00905F97"/>
    <w:rsid w:val="00906FA3"/>
    <w:rsid w:val="0091239D"/>
    <w:rsid w:val="00912825"/>
    <w:rsid w:val="009129B8"/>
    <w:rsid w:val="00912B99"/>
    <w:rsid w:val="00912C78"/>
    <w:rsid w:val="00925075"/>
    <w:rsid w:val="00927892"/>
    <w:rsid w:val="009319B9"/>
    <w:rsid w:val="009351E9"/>
    <w:rsid w:val="00937862"/>
    <w:rsid w:val="00942279"/>
    <w:rsid w:val="009524EB"/>
    <w:rsid w:val="009544F8"/>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427F"/>
    <w:rsid w:val="00B35BE5"/>
    <w:rsid w:val="00B46965"/>
    <w:rsid w:val="00B54ED0"/>
    <w:rsid w:val="00B55D47"/>
    <w:rsid w:val="00B6204E"/>
    <w:rsid w:val="00B649EC"/>
    <w:rsid w:val="00B728DD"/>
    <w:rsid w:val="00B72D43"/>
    <w:rsid w:val="00B74121"/>
    <w:rsid w:val="00B76FC4"/>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25DC"/>
    <w:rsid w:val="00C24A10"/>
    <w:rsid w:val="00C25E27"/>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9FB"/>
    <w:rsid w:val="00DB5EDA"/>
    <w:rsid w:val="00DC2349"/>
    <w:rsid w:val="00DC3026"/>
    <w:rsid w:val="00DD1EDB"/>
    <w:rsid w:val="00DD57AA"/>
    <w:rsid w:val="00DE1578"/>
    <w:rsid w:val="00DE7F67"/>
    <w:rsid w:val="00DF0529"/>
    <w:rsid w:val="00DF09EF"/>
    <w:rsid w:val="00DF0D0F"/>
    <w:rsid w:val="00DF13D6"/>
    <w:rsid w:val="00DF27D6"/>
    <w:rsid w:val="00DF2BEA"/>
    <w:rsid w:val="00DF33A2"/>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45D2"/>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5F17"/>
    <w:rsid w:val="00FB69B3"/>
    <w:rsid w:val="00FC6FBE"/>
    <w:rsid w:val="00FD1162"/>
    <w:rsid w:val="00FD2232"/>
    <w:rsid w:val="00FD4AE7"/>
    <w:rsid w:val="00FD65A9"/>
    <w:rsid w:val="00FD7508"/>
    <w:rsid w:val="00FE1E51"/>
    <w:rsid w:val="00FE2496"/>
    <w:rsid w:val="00FE2EDC"/>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spacing w:after="160" w:line="278" w:lineRule="auto"/>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41">
    <w:name w:val="font41"/>
    <w:basedOn w:val="a1"/>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spacing w:after="160" w:line="278" w:lineRule="auto"/>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41">
    <w:name w:val="font41"/>
    <w:basedOn w:val="a1"/>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36130;&#21153;/&#39044;&#20915;&#31639;&#21450;&#36130;&#21153;&#25253;&#21578;/&#39044;&#31639;/2024/2024&#39044;&#31639;&#20844;&#24320;/&#21271;&#20140;&#24066;&#33647;&#21697;&#32593;&#32476;&#30417;&#27979;&#20998;&#26512;&#20013;&#24515;2024&#24180;&#39044;&#31639;/&#21271;&#20140;&#24066;&#33647;&#21697;&#32593;&#32476;&#30417;&#27979;&#20998;&#26512;&#20013;&#24515;2024&#24180;&#39044;&#31639;&#20844;&#24320;&#38468;&#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overlay val="0"/>
      <c:spPr>
        <a:noFill/>
        <a:ln>
          <a:noFill/>
        </a:ln>
        <a:effectLst/>
      </c:spPr>
    </c:title>
    <c:autoTitleDeleted val="0"/>
    <c:plotArea>
      <c:layout/>
      <c:pieChart>
        <c:varyColors val="1"/>
        <c:ser>
          <c:idx val="0"/>
          <c:order val="0"/>
          <c:tx>
            <c:strRef>
              <c:f>Sheet1!$B$1</c:f>
              <c:strCache>
                <c:ptCount val="1"/>
                <c:pt idx="0">
                  <c:v>收入</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1"/>
              <c:delete val="1"/>
            </c:dLbl>
            <c:dLbl>
              <c:idx val="2"/>
              <c:delete val="1"/>
            </c:dLbl>
            <c:dLbl>
              <c:idx val="3"/>
              <c:delete val="1"/>
            </c:dLbl>
            <c:dLbl>
              <c:idx val="4"/>
              <c:delete val="1"/>
            </c:dLbl>
            <c:dLbl>
              <c:idx val="5"/>
              <c:delete val="1"/>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762.04</c:v>
                </c:pt>
                <c:pt idx="1">
                  <c:v>0</c:v>
                </c:pt>
                <c:pt idx="2">
                  <c:v>0</c:v>
                </c:pt>
                <c:pt idx="3">
                  <c:v>0</c:v>
                </c:pt>
                <c:pt idx="4">
                  <c:v>0</c:v>
                </c:pt>
                <c:pt idx="5">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delete val="1"/>
      </c:legendEntry>
      <c:legendEntry>
        <c:idx val="2"/>
        <c:delete val="1"/>
      </c:legendEntry>
      <c:legendEntry>
        <c:idx val="3"/>
        <c:delete val="1"/>
      </c:legendEntry>
      <c:legendEntry>
        <c:idx val="4"/>
        <c:delete val="1"/>
      </c:legendEntry>
      <c:legendEntry>
        <c:idx val="5"/>
        <c:delete val="1"/>
      </c:legendEntry>
      <c:layout>
        <c:manualLayout>
          <c:xMode val="edge"/>
          <c:yMode val="edge"/>
          <c:x val="0.713984980065411"/>
          <c:y val="0.239610529769305"/>
          <c:w val="0.20846095580334301"/>
          <c:h val="0.6626925334991019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sz="1800" b="1"/>
              <a:t>支出决算</a:t>
            </a:r>
          </a:p>
        </c:rich>
      </c:tx>
      <c:layout>
        <c:manualLayout>
          <c:xMode val="edge"/>
          <c:yMode val="edge"/>
          <c:x val="0.37277777777777799"/>
          <c:y val="5.5555555555555601E-2"/>
        </c:manualLayout>
      </c:layout>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2"/>
              <c:delete val="1"/>
            </c:dLbl>
            <c:dLbl>
              <c:idx val="3"/>
              <c:delete val="1"/>
            </c:dLbl>
            <c:dLbl>
              <c:idx val="4"/>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'[北京市药品网络监测分析中心2024年预算公开附表.xlsx]01收支总表'!$H$14:$H$18</c:f>
              <c:strCache>
                <c:ptCount val="5"/>
                <c:pt idx="0">
                  <c:v>项目支出</c:v>
                </c:pt>
                <c:pt idx="1">
                  <c:v>基本支出</c:v>
                </c:pt>
                <c:pt idx="2">
                  <c:v>上缴上级支出</c:v>
                </c:pt>
                <c:pt idx="3">
                  <c:v>经营支出</c:v>
                </c:pt>
                <c:pt idx="4">
                  <c:v>对附属单位补助支出</c:v>
                </c:pt>
              </c:strCache>
            </c:strRef>
          </c:cat>
          <c:val>
            <c:numRef>
              <c:f>'[北京市药品网络监测分析中心2024年预算公开附表.xlsx]01收支总表'!$I$14:$I$18</c:f>
              <c:numCache>
                <c:formatCode>0.00%</c:formatCode>
                <c:ptCount val="5"/>
                <c:pt idx="0">
                  <c:v>0.32250000000000001</c:v>
                </c:pt>
                <c:pt idx="1">
                  <c:v>0.67749999999999999</c:v>
                </c:pt>
                <c:pt idx="2" formatCode="0%">
                  <c:v>0</c:v>
                </c:pt>
                <c:pt idx="3" formatCode="0%">
                  <c:v>0</c:v>
                </c:pt>
                <c:pt idx="4" formatCode="0%">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21</Pages>
  <Words>1221</Words>
  <Characters>6961</Characters>
  <Application>Microsoft Office Word</Application>
  <DocSecurity>0</DocSecurity>
  <Lines>58</Lines>
  <Paragraphs>16</Paragraphs>
  <ScaleCrop>false</ScaleCrop>
  <Company/>
  <LinksUpToDate>false</LinksUpToDate>
  <CharactersWithSpaces>8166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26</cp:revision>
  <cp:lastPrinted>2020-08-08T03:39:00Z</cp:lastPrinted>
  <dcterms:created xsi:type="dcterms:W3CDTF">2025-09-10T18:19:00Z</dcterms:created>
  <dcterms:modified xsi:type="dcterms:W3CDTF">2025-09-11T03:09:00Z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