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不符合规定项目的小知识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</w:p>
    <w:p>
      <w:pPr>
        <w:overflowPunct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性状项下记载外观、臭、味、溶解度以及物理常数等，在一定程度上反映药品的质量特性。中药饮片性状项不符合规定，可能涉及药材种属偏差、炮制工艺有瑕疵、储存不当等情形。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146240"/>
    <w:rsid w:val="0090133E"/>
    <w:rsid w:val="00BB12EE"/>
    <w:rsid w:val="00D67046"/>
    <w:rsid w:val="00ED426B"/>
    <w:rsid w:val="4D1BA2DA"/>
    <w:rsid w:val="FF1EA20B"/>
    <w:rsid w:val="FFDC8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13</TotalTime>
  <ScaleCrop>false</ScaleCrop>
  <LinksUpToDate>false</LinksUpToDate>
  <CharactersWithSpaces>265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2024-12-26T09:17:00Z</dcterms:created>
  <dc:creator>pc</dc:creator>
  <cp:lastModifiedBy>张祎楠</cp:lastModifiedBy>
  <cp:lastPrinted>2025-01-14T22:22:00Z</cp:lastPrinted>
  <dcterms:modified xsi:type="dcterms:W3CDTF">2025-02-10T15:23:48Z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