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853" w:rsidRDefault="00FB1853">
      <w:pPr>
        <w:jc w:val="center"/>
        <w:rPr>
          <w:rFonts w:ascii="仿宋_GB2312" w:eastAsia="仿宋_GB2312"/>
          <w:b/>
          <w:sz w:val="32"/>
          <w:szCs w:val="32"/>
        </w:rPr>
      </w:pPr>
    </w:p>
    <w:p w:rsidR="00FB1853" w:rsidRDefault="00FB1853">
      <w:pPr>
        <w:jc w:val="center"/>
        <w:rPr>
          <w:rFonts w:ascii="黑体" w:eastAsia="黑体"/>
          <w:sz w:val="72"/>
          <w:szCs w:val="72"/>
        </w:rPr>
      </w:pPr>
    </w:p>
    <w:p w:rsidR="00FB1853" w:rsidRDefault="00FB1853">
      <w:pPr>
        <w:jc w:val="center"/>
        <w:rPr>
          <w:rFonts w:ascii="黑体" w:eastAsia="黑体"/>
          <w:sz w:val="72"/>
          <w:szCs w:val="72"/>
        </w:rPr>
      </w:pPr>
    </w:p>
    <w:p w:rsidR="00FB1853" w:rsidRDefault="00FB1853">
      <w:pPr>
        <w:jc w:val="center"/>
        <w:rPr>
          <w:rFonts w:ascii="黑体" w:eastAsia="黑体"/>
          <w:sz w:val="72"/>
          <w:szCs w:val="72"/>
        </w:rPr>
      </w:pPr>
    </w:p>
    <w:p w:rsidR="00FB1853" w:rsidRDefault="00A9080B">
      <w:pPr>
        <w:jc w:val="center"/>
        <w:rPr>
          <w:rFonts w:ascii="黑体" w:eastAsia="黑体"/>
          <w:sz w:val="72"/>
          <w:szCs w:val="72"/>
        </w:rPr>
      </w:pPr>
      <w:r>
        <w:rPr>
          <w:rFonts w:ascii="黑体" w:eastAsia="黑体" w:hint="eastAsia"/>
          <w:sz w:val="72"/>
          <w:szCs w:val="72"/>
        </w:rPr>
        <w:t>2023年度决算</w:t>
      </w:r>
      <w:r w:rsidR="003D461C">
        <w:rPr>
          <w:rFonts w:ascii="黑体" w:eastAsia="黑体" w:hint="eastAsia"/>
          <w:sz w:val="72"/>
          <w:szCs w:val="72"/>
        </w:rPr>
        <w:t>公开</w:t>
      </w:r>
    </w:p>
    <w:p w:rsidR="00FB1853" w:rsidRDefault="00FB1853">
      <w:pPr>
        <w:jc w:val="center"/>
        <w:rPr>
          <w:rFonts w:ascii="黑体" w:eastAsia="黑体"/>
          <w:sz w:val="52"/>
          <w:szCs w:val="52"/>
        </w:rPr>
      </w:pPr>
    </w:p>
    <w:p w:rsidR="00FB1853" w:rsidRPr="004276E8" w:rsidRDefault="003D461C">
      <w:pPr>
        <w:jc w:val="center"/>
        <w:rPr>
          <w:rFonts w:ascii="宋体" w:hAnsi="宋体" w:cs="宋体"/>
          <w:bCs/>
          <w:kern w:val="0"/>
          <w:sz w:val="44"/>
          <w:szCs w:val="44"/>
        </w:rPr>
      </w:pPr>
      <w:r w:rsidRPr="007933A7">
        <w:rPr>
          <w:rFonts w:ascii="宋体" w:hAnsi="宋体" w:cs="宋体" w:hint="eastAsia"/>
          <w:bCs/>
          <w:kern w:val="0"/>
          <w:sz w:val="44"/>
          <w:szCs w:val="44"/>
        </w:rPr>
        <w:t>单位名称：北京市药品监督管理局</w:t>
      </w:r>
      <w:r w:rsidR="006E764F">
        <w:rPr>
          <w:rFonts w:ascii="宋体" w:hAnsi="宋体" w:cs="宋体" w:hint="eastAsia"/>
          <w:bCs/>
          <w:kern w:val="0"/>
          <w:sz w:val="44"/>
          <w:szCs w:val="44"/>
        </w:rPr>
        <w:t>本级</w:t>
      </w:r>
    </w:p>
    <w:p w:rsidR="00FB1853" w:rsidRDefault="00FB1853">
      <w:pPr>
        <w:jc w:val="center"/>
        <w:rPr>
          <w:rFonts w:ascii="黑体" w:eastAsia="黑体"/>
          <w:sz w:val="52"/>
          <w:szCs w:val="52"/>
        </w:rPr>
      </w:pPr>
    </w:p>
    <w:p w:rsidR="00FB1853" w:rsidRDefault="00FB1853">
      <w:pPr>
        <w:jc w:val="center"/>
        <w:rPr>
          <w:rFonts w:ascii="黑体" w:eastAsia="黑体"/>
          <w:sz w:val="52"/>
          <w:szCs w:val="52"/>
        </w:rPr>
      </w:pPr>
    </w:p>
    <w:p w:rsidR="00FB1853" w:rsidRDefault="00FB1853">
      <w:pPr>
        <w:jc w:val="center"/>
        <w:rPr>
          <w:rFonts w:ascii="黑体" w:eastAsia="黑体"/>
          <w:sz w:val="32"/>
          <w:szCs w:val="32"/>
        </w:rPr>
      </w:pPr>
    </w:p>
    <w:p w:rsidR="00C367D0" w:rsidRDefault="00C367D0">
      <w:pPr>
        <w:spacing w:line="500" w:lineRule="exact"/>
        <w:ind w:firstLine="645"/>
        <w:jc w:val="center"/>
        <w:rPr>
          <w:rFonts w:ascii="宋体" w:hAnsi="宋体" w:cs="宋体"/>
          <w:b/>
          <w:bCs/>
          <w:kern w:val="0"/>
          <w:sz w:val="44"/>
          <w:szCs w:val="36"/>
        </w:rPr>
      </w:pPr>
    </w:p>
    <w:p w:rsidR="00C367D0" w:rsidRDefault="00C367D0">
      <w:pPr>
        <w:spacing w:line="500" w:lineRule="exact"/>
        <w:ind w:firstLine="645"/>
        <w:jc w:val="center"/>
        <w:rPr>
          <w:rFonts w:ascii="宋体" w:hAnsi="宋体" w:cs="宋体"/>
          <w:b/>
          <w:bCs/>
          <w:kern w:val="0"/>
          <w:sz w:val="44"/>
          <w:szCs w:val="36"/>
        </w:rPr>
      </w:pPr>
    </w:p>
    <w:p w:rsidR="00FB1853" w:rsidRDefault="00A9080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FB1853" w:rsidRDefault="00FB1853">
      <w:pPr>
        <w:spacing w:line="500" w:lineRule="exact"/>
        <w:ind w:firstLine="645"/>
        <w:jc w:val="center"/>
        <w:rPr>
          <w:rFonts w:ascii="宋体" w:hAnsi="宋体" w:cs="宋体"/>
          <w:b/>
          <w:bCs/>
          <w:kern w:val="0"/>
          <w:sz w:val="36"/>
          <w:szCs w:val="36"/>
        </w:rPr>
      </w:pPr>
    </w:p>
    <w:p w:rsidR="00FB1853" w:rsidRDefault="00A9080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2023年度决算报表</w:t>
      </w:r>
    </w:p>
    <w:p w:rsidR="00FB1853" w:rsidRDefault="00A9080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FB1853" w:rsidRDefault="00A9080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FB1853" w:rsidRDefault="00A9080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2023年度决算说明</w:t>
      </w:r>
    </w:p>
    <w:p w:rsidR="00FB1853" w:rsidRDefault="00A9080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FB1853" w:rsidRDefault="00A9080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2023年度绩效评价情况</w:t>
      </w:r>
    </w:p>
    <w:p w:rsidR="00FB1853" w:rsidRDefault="00FB1853">
      <w:pPr>
        <w:tabs>
          <w:tab w:val="center" w:pos="6979"/>
        </w:tabs>
        <w:spacing w:beforeLines="50" w:before="156" w:afterLines="50" w:after="156"/>
        <w:jc w:val="center"/>
        <w:rPr>
          <w:rFonts w:ascii="宋体" w:hAnsi="宋体" w:cs="宋体"/>
          <w:b/>
          <w:bCs/>
          <w:spacing w:val="40"/>
          <w:kern w:val="0"/>
          <w:sz w:val="32"/>
          <w:szCs w:val="32"/>
        </w:rPr>
      </w:pPr>
    </w:p>
    <w:p w:rsidR="00FB1853" w:rsidRDefault="00FB1853">
      <w:pPr>
        <w:tabs>
          <w:tab w:val="center" w:pos="6979"/>
        </w:tabs>
        <w:spacing w:beforeLines="50" w:before="156" w:afterLines="50" w:after="156"/>
        <w:jc w:val="center"/>
        <w:rPr>
          <w:rFonts w:ascii="宋体" w:hAnsi="宋体" w:cs="宋体"/>
          <w:b/>
          <w:bCs/>
          <w:spacing w:val="40"/>
          <w:kern w:val="0"/>
          <w:sz w:val="32"/>
          <w:szCs w:val="32"/>
        </w:rPr>
      </w:pPr>
    </w:p>
    <w:p w:rsidR="00FB1853" w:rsidRDefault="00FB1853">
      <w:pPr>
        <w:tabs>
          <w:tab w:val="center" w:pos="6979"/>
        </w:tabs>
        <w:spacing w:beforeLines="50" w:before="156" w:afterLines="50" w:after="156"/>
        <w:jc w:val="center"/>
        <w:rPr>
          <w:rFonts w:ascii="宋体" w:hAnsi="宋体" w:cs="宋体"/>
          <w:b/>
          <w:bCs/>
          <w:spacing w:val="40"/>
          <w:kern w:val="0"/>
          <w:sz w:val="32"/>
          <w:szCs w:val="32"/>
        </w:rPr>
      </w:pPr>
    </w:p>
    <w:p w:rsidR="00FB1853" w:rsidRDefault="00FB1853">
      <w:pPr>
        <w:tabs>
          <w:tab w:val="center" w:pos="6979"/>
        </w:tabs>
        <w:spacing w:beforeLines="50" w:before="156" w:afterLines="50" w:after="156"/>
        <w:jc w:val="center"/>
        <w:rPr>
          <w:rFonts w:ascii="宋体" w:hAnsi="宋体" w:cs="宋体"/>
          <w:b/>
          <w:bCs/>
          <w:spacing w:val="40"/>
          <w:kern w:val="0"/>
          <w:sz w:val="32"/>
          <w:szCs w:val="32"/>
        </w:rPr>
      </w:pPr>
    </w:p>
    <w:p w:rsidR="00FB1853" w:rsidRDefault="00FB1853">
      <w:pPr>
        <w:tabs>
          <w:tab w:val="center" w:pos="6979"/>
        </w:tabs>
        <w:spacing w:beforeLines="50" w:before="156" w:afterLines="50" w:after="156"/>
        <w:jc w:val="center"/>
        <w:rPr>
          <w:rFonts w:ascii="宋体" w:hAnsi="宋体" w:cs="宋体"/>
          <w:b/>
          <w:bCs/>
          <w:spacing w:val="40"/>
          <w:kern w:val="0"/>
          <w:sz w:val="32"/>
          <w:szCs w:val="32"/>
        </w:rPr>
      </w:pPr>
    </w:p>
    <w:p w:rsidR="00FB1853" w:rsidRDefault="00A9080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2023年度决算报表</w:t>
      </w:r>
    </w:p>
    <w:p w:rsidR="00FB1853" w:rsidRDefault="00A9080B">
      <w:pPr>
        <w:pStyle w:val="2"/>
        <w:rPr>
          <w:b w:val="0"/>
          <w:bCs w:val="0"/>
        </w:rPr>
        <w:sectPr w:rsidR="00FB1853">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FB1853" w:rsidRDefault="00A9080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2023年度决算说明</w:t>
      </w:r>
    </w:p>
    <w:p w:rsidR="00FB1853" w:rsidRDefault="00A9080B" w:rsidP="006E345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FB1853" w:rsidRDefault="00A9080B">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FB1853" w:rsidRDefault="0093343D">
      <w:pPr>
        <w:pStyle w:val="a0"/>
        <w:ind w:firstLine="560"/>
        <w:rPr>
          <w:rFonts w:ascii="仿宋_GB2312" w:eastAsia="仿宋_GB2312"/>
          <w:sz w:val="28"/>
          <w:szCs w:val="28"/>
        </w:rPr>
      </w:pPr>
      <w:r w:rsidRPr="00CD43B9">
        <w:rPr>
          <w:rFonts w:ascii="仿宋_GB2312" w:eastAsia="仿宋_GB2312" w:hAnsi="Calibri" w:hint="eastAsia"/>
          <w:sz w:val="28"/>
          <w:szCs w:val="28"/>
        </w:rPr>
        <w:t>根据中共北京市委、北京市人民政府印发的《北京市机构改革实施方案》，组建</w:t>
      </w:r>
      <w:r>
        <w:rPr>
          <w:rFonts w:ascii="仿宋_GB2312" w:eastAsia="仿宋_GB2312" w:hAnsi="Calibri" w:hint="eastAsia"/>
          <w:sz w:val="28"/>
          <w:szCs w:val="28"/>
        </w:rPr>
        <w:t>北京市药品监督管理局</w:t>
      </w:r>
      <w:r w:rsidRPr="00CD43B9">
        <w:rPr>
          <w:rFonts w:ascii="仿宋_GB2312" w:eastAsia="仿宋_GB2312" w:hAnsi="Calibri" w:hint="eastAsia"/>
          <w:sz w:val="28"/>
          <w:szCs w:val="28"/>
        </w:rPr>
        <w:t>（以下</w:t>
      </w:r>
      <w:proofErr w:type="gramStart"/>
      <w:r w:rsidRPr="00CD43B9">
        <w:rPr>
          <w:rFonts w:ascii="仿宋_GB2312" w:eastAsia="仿宋_GB2312" w:hAnsi="Calibri" w:hint="eastAsia"/>
          <w:sz w:val="28"/>
          <w:szCs w:val="28"/>
        </w:rPr>
        <w:t>简称市药监</w:t>
      </w:r>
      <w:proofErr w:type="gramEnd"/>
      <w:r w:rsidRPr="00CD43B9">
        <w:rPr>
          <w:rFonts w:ascii="仿宋_GB2312" w:eastAsia="仿宋_GB2312" w:hAnsi="Calibri" w:hint="eastAsia"/>
          <w:sz w:val="28"/>
          <w:szCs w:val="28"/>
        </w:rPr>
        <w:t>局），</w:t>
      </w:r>
      <w:r>
        <w:rPr>
          <w:rFonts w:ascii="仿宋_GB2312" w:eastAsia="仿宋_GB2312" w:hAnsi="Calibri" w:hint="eastAsia"/>
          <w:sz w:val="28"/>
          <w:szCs w:val="28"/>
        </w:rPr>
        <w:t>是北京市市场监督管理局的部门管理机构。</w:t>
      </w:r>
      <w:proofErr w:type="gramStart"/>
      <w:r>
        <w:rPr>
          <w:rFonts w:ascii="仿宋_GB2312" w:eastAsia="仿宋_GB2312" w:hAnsi="Calibri" w:hint="eastAsia"/>
          <w:sz w:val="28"/>
          <w:szCs w:val="28"/>
        </w:rPr>
        <w:t>市药监</w:t>
      </w:r>
      <w:proofErr w:type="gramEnd"/>
      <w:r>
        <w:rPr>
          <w:rFonts w:ascii="仿宋_GB2312" w:eastAsia="仿宋_GB2312" w:hAnsi="Calibri" w:hint="eastAsia"/>
          <w:sz w:val="28"/>
          <w:szCs w:val="28"/>
        </w:rPr>
        <w:t>局贯彻落实党中央关于药品监督管理工作的方针政策、决策部署和市委市政府有关工作要求，在履行职责过程中坚持和加强党对药品监督管理工作的集中统一领导</w:t>
      </w:r>
      <w:r w:rsidR="00A9080B">
        <w:rPr>
          <w:rFonts w:ascii="仿宋_GB2312" w:eastAsia="仿宋_GB2312" w:hint="eastAsia"/>
          <w:sz w:val="28"/>
          <w:szCs w:val="28"/>
        </w:rPr>
        <w:t>。主要职责：</w:t>
      </w:r>
    </w:p>
    <w:p w:rsidR="00FB1853" w:rsidRDefault="00A9080B">
      <w:pPr>
        <w:pStyle w:val="a0"/>
        <w:ind w:firstLine="560"/>
        <w:rPr>
          <w:rFonts w:ascii="仿宋_GB2312" w:eastAsia="仿宋_GB2312"/>
          <w:sz w:val="28"/>
          <w:szCs w:val="28"/>
        </w:rPr>
      </w:pPr>
      <w:r>
        <w:rPr>
          <w:rFonts w:ascii="仿宋_GB2312" w:eastAsia="仿宋_GB2312" w:hint="eastAsia"/>
          <w:sz w:val="28"/>
          <w:szCs w:val="28"/>
        </w:rPr>
        <w:t>1.负责本市药品（含中药、民族药，下同）、医疗器械和化妆品安全监督管理。贯彻落实国家关于药品、医疗器械和化妆品监督管理的法律法规、规章和政策，拟订相关地方性法规草案、政府规章草案并组织实施。研究拟订鼓励药品、医疗器械和化妆品新技术新产品的管理与服务政策。</w:t>
      </w:r>
    </w:p>
    <w:p w:rsidR="00FB1853" w:rsidRDefault="00A9080B">
      <w:pPr>
        <w:pStyle w:val="a0"/>
        <w:ind w:firstLine="560"/>
        <w:rPr>
          <w:rFonts w:ascii="仿宋_GB2312" w:eastAsia="仿宋_GB2312"/>
          <w:sz w:val="28"/>
          <w:szCs w:val="28"/>
        </w:rPr>
      </w:pPr>
      <w:r>
        <w:rPr>
          <w:rFonts w:ascii="仿宋_GB2312" w:eastAsia="仿宋_GB2312" w:hint="eastAsia"/>
          <w:sz w:val="28"/>
          <w:szCs w:val="28"/>
        </w:rPr>
        <w:t>2.监督实施药品、医疗器械、化妆品相关标准和分类管理制度。配合实施国家基本药物制度。</w:t>
      </w:r>
    </w:p>
    <w:p w:rsidR="00FB1853" w:rsidRDefault="00A9080B">
      <w:pPr>
        <w:pStyle w:val="a0"/>
        <w:ind w:firstLine="560"/>
        <w:rPr>
          <w:rFonts w:ascii="仿宋_GB2312" w:eastAsia="仿宋_GB2312"/>
          <w:sz w:val="28"/>
          <w:szCs w:val="28"/>
        </w:rPr>
      </w:pPr>
      <w:r>
        <w:rPr>
          <w:rFonts w:ascii="仿宋_GB2312" w:eastAsia="仿宋_GB2312" w:hint="eastAsia"/>
          <w:sz w:val="28"/>
          <w:szCs w:val="28"/>
        </w:rPr>
        <w:t>3.负责本市药品、医疗器械、化妆品的注册管理。制定注册管理制度，严格上市审评审批，完善</w:t>
      </w:r>
      <w:proofErr w:type="gramStart"/>
      <w:r>
        <w:rPr>
          <w:rFonts w:ascii="仿宋_GB2312" w:eastAsia="仿宋_GB2312" w:hint="eastAsia"/>
          <w:sz w:val="28"/>
          <w:szCs w:val="28"/>
        </w:rPr>
        <w:t>审评审批</w:t>
      </w:r>
      <w:proofErr w:type="gramEnd"/>
      <w:r>
        <w:rPr>
          <w:rFonts w:ascii="仿宋_GB2312" w:eastAsia="仿宋_GB2312" w:hint="eastAsia"/>
          <w:sz w:val="28"/>
          <w:szCs w:val="28"/>
        </w:rPr>
        <w:t>服务便利化措施，并组织实施。</w:t>
      </w:r>
    </w:p>
    <w:p w:rsidR="00FB1853" w:rsidRDefault="00A9080B">
      <w:pPr>
        <w:pStyle w:val="a0"/>
        <w:ind w:firstLine="560"/>
        <w:rPr>
          <w:rFonts w:ascii="仿宋_GB2312" w:eastAsia="仿宋_GB2312"/>
          <w:sz w:val="28"/>
          <w:szCs w:val="28"/>
        </w:rPr>
      </w:pPr>
      <w:r>
        <w:rPr>
          <w:rFonts w:ascii="仿宋_GB2312" w:eastAsia="仿宋_GB2312" w:hint="eastAsia"/>
          <w:sz w:val="28"/>
          <w:szCs w:val="28"/>
        </w:rPr>
        <w:t>4.负责本市药品、医疗器械和化妆品生产许可和质量管理，以及药品批发许可、零售连锁总部许可、互联网销售第三方平台备案和监督管理。依职责监督实施生产、经营和使用质量管理规范。负责药品、医疗器械广告的审批及监督管理。</w:t>
      </w:r>
    </w:p>
    <w:p w:rsidR="00FB1853" w:rsidRDefault="00A9080B">
      <w:pPr>
        <w:pStyle w:val="a0"/>
        <w:ind w:firstLine="560"/>
        <w:rPr>
          <w:rFonts w:ascii="仿宋_GB2312" w:eastAsia="仿宋_GB2312"/>
          <w:sz w:val="28"/>
          <w:szCs w:val="28"/>
        </w:rPr>
      </w:pPr>
      <w:r>
        <w:rPr>
          <w:rFonts w:ascii="仿宋_GB2312" w:eastAsia="仿宋_GB2312" w:hint="eastAsia"/>
          <w:sz w:val="28"/>
          <w:szCs w:val="28"/>
        </w:rPr>
        <w:lastRenderedPageBreak/>
        <w:t>5.负责本市药品、医疗器械和化妆品上市后风险管理。组织开展药品、化妆品不良反应和医疗器械不良事件监测、评价和处置工作。依法承担药品、医疗器械和化妆品安全应急管理工作。</w:t>
      </w:r>
    </w:p>
    <w:p w:rsidR="00FB1853" w:rsidRDefault="00A9080B">
      <w:pPr>
        <w:pStyle w:val="a0"/>
        <w:ind w:firstLine="560"/>
        <w:rPr>
          <w:rFonts w:ascii="仿宋_GB2312" w:eastAsia="仿宋_GB2312"/>
          <w:sz w:val="28"/>
          <w:szCs w:val="28"/>
        </w:rPr>
      </w:pPr>
      <w:r>
        <w:rPr>
          <w:rFonts w:ascii="仿宋_GB2312" w:eastAsia="仿宋_GB2312" w:hint="eastAsia"/>
          <w:sz w:val="28"/>
          <w:szCs w:val="28"/>
        </w:rPr>
        <w:t>6.落实执业药师资格准入制度，组织实施本市执业药师注册工作。</w:t>
      </w:r>
    </w:p>
    <w:p w:rsidR="00FB1853" w:rsidRDefault="00A9080B">
      <w:pPr>
        <w:pStyle w:val="a0"/>
        <w:ind w:firstLine="560"/>
        <w:rPr>
          <w:rFonts w:ascii="仿宋_GB2312" w:eastAsia="仿宋_GB2312"/>
          <w:sz w:val="28"/>
          <w:szCs w:val="28"/>
        </w:rPr>
      </w:pPr>
      <w:r>
        <w:rPr>
          <w:rFonts w:ascii="仿宋_GB2312" w:eastAsia="仿宋_GB2312" w:hint="eastAsia"/>
          <w:sz w:val="28"/>
          <w:szCs w:val="28"/>
        </w:rPr>
        <w:t>7.负责组织实施药品、医疗器械和化妆品监督检查制度。依法查处本市药品、医疗器械和化妆品生产环节，以及药品批发、零售连锁总部和互联网销售第三方平台的违法行为。依职责组织指导查处药品零售、医疗器械和化妆品经营环节，以及药品、医疗器械使用环节的违法行为。</w:t>
      </w:r>
    </w:p>
    <w:p w:rsidR="00FB1853" w:rsidRDefault="00A9080B">
      <w:pPr>
        <w:pStyle w:val="a0"/>
        <w:ind w:firstLine="560"/>
        <w:rPr>
          <w:rFonts w:ascii="仿宋_GB2312" w:eastAsia="仿宋_GB2312"/>
          <w:sz w:val="28"/>
          <w:szCs w:val="28"/>
        </w:rPr>
      </w:pPr>
      <w:r>
        <w:rPr>
          <w:rFonts w:ascii="仿宋_GB2312" w:eastAsia="仿宋_GB2312" w:hint="eastAsia"/>
          <w:sz w:val="28"/>
          <w:szCs w:val="28"/>
        </w:rPr>
        <w:t>8.负责本市药品、医疗器械和化妆品监督管理领域政策法规宣传、信息发布、对外交流与合作。推进诚信体系建设。</w:t>
      </w:r>
    </w:p>
    <w:p w:rsidR="00FB1853" w:rsidRDefault="00A9080B">
      <w:pPr>
        <w:pStyle w:val="a0"/>
        <w:ind w:firstLine="560"/>
        <w:rPr>
          <w:rFonts w:ascii="仿宋_GB2312" w:eastAsia="仿宋_GB2312"/>
          <w:sz w:val="28"/>
          <w:szCs w:val="28"/>
        </w:rPr>
      </w:pPr>
      <w:r>
        <w:rPr>
          <w:rFonts w:ascii="仿宋_GB2312" w:eastAsia="仿宋_GB2312" w:hint="eastAsia"/>
          <w:sz w:val="28"/>
          <w:szCs w:val="28"/>
        </w:rPr>
        <w:t>9.完成市委、市政府交办的其他任务。</w:t>
      </w:r>
    </w:p>
    <w:p w:rsidR="00FB1853" w:rsidRDefault="00A9080B">
      <w:pPr>
        <w:pStyle w:val="a0"/>
        <w:ind w:firstLine="560"/>
        <w:rPr>
          <w:rFonts w:ascii="仿宋_GB2312" w:eastAsia="仿宋_GB2312"/>
          <w:sz w:val="28"/>
          <w:szCs w:val="28"/>
        </w:rPr>
      </w:pPr>
      <w:proofErr w:type="gramStart"/>
      <w:r>
        <w:rPr>
          <w:rFonts w:ascii="仿宋_GB2312" w:eastAsia="仿宋_GB2312" w:hint="eastAsia"/>
          <w:sz w:val="28"/>
          <w:szCs w:val="28"/>
        </w:rPr>
        <w:t>市药监</w:t>
      </w:r>
      <w:proofErr w:type="gramEnd"/>
      <w:r>
        <w:rPr>
          <w:rFonts w:ascii="仿宋_GB2312" w:eastAsia="仿宋_GB2312" w:hint="eastAsia"/>
          <w:sz w:val="28"/>
          <w:szCs w:val="28"/>
        </w:rPr>
        <w:t>局内设：办公室、政策法规处（研究室）、药品注册管理处、药品生产监督管理处、医疗器械注册管理处、医疗器械生产监督管理处、药械流通监督管理处（医药物资储备管理处）、化妆品监督管理处、科技与标准处（信息化处）、稽查处、财务处（审计处）、人事处（离退休干部处）、行政审批处13个职能处室和机关党委、机关纪委、工会。</w:t>
      </w:r>
    </w:p>
    <w:p w:rsidR="00FB1853" w:rsidRDefault="00A9080B">
      <w:pPr>
        <w:pStyle w:val="a0"/>
        <w:ind w:firstLine="560"/>
        <w:rPr>
          <w:rFonts w:ascii="仿宋_GB2312" w:eastAsia="仿宋_GB2312"/>
          <w:sz w:val="28"/>
          <w:szCs w:val="28"/>
        </w:rPr>
      </w:pPr>
      <w:r>
        <w:rPr>
          <w:rFonts w:ascii="仿宋_GB2312" w:eastAsia="仿宋_GB2312" w:hint="eastAsia"/>
          <w:sz w:val="28"/>
          <w:szCs w:val="28"/>
        </w:rPr>
        <w:t>北京市药品监督管理局本级无下属单位。</w:t>
      </w:r>
    </w:p>
    <w:p w:rsidR="00FB1853" w:rsidRDefault="00A9080B">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FB1853" w:rsidRDefault="00A9080B">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行政编制105人，实有人数103人。</w:t>
      </w:r>
    </w:p>
    <w:p w:rsidR="00FB1853" w:rsidRDefault="00FB1853">
      <w:pPr>
        <w:pStyle w:val="a0"/>
        <w:ind w:firstLine="420"/>
      </w:pPr>
    </w:p>
    <w:p w:rsidR="00FB1853" w:rsidRDefault="00FB1853">
      <w:pPr>
        <w:pStyle w:val="a0"/>
        <w:ind w:firstLine="420"/>
      </w:pPr>
    </w:p>
    <w:p w:rsidR="00FB1853" w:rsidRDefault="00A9080B">
      <w:pPr>
        <w:tabs>
          <w:tab w:val="center" w:pos="6979"/>
        </w:tabs>
        <w:spacing w:line="580" w:lineRule="exact"/>
        <w:rPr>
          <w:rFonts w:ascii="黑体" w:eastAsia="黑体"/>
          <w:b/>
          <w:sz w:val="28"/>
          <w:szCs w:val="28"/>
        </w:rPr>
      </w:pPr>
      <w:r>
        <w:rPr>
          <w:rFonts w:ascii="仿宋_GB2312" w:eastAsia="仿宋_GB2312" w:hint="eastAsia"/>
          <w:b/>
          <w:sz w:val="32"/>
          <w:szCs w:val="32"/>
        </w:rPr>
        <w:lastRenderedPageBreak/>
        <w:t xml:space="preserve">   </w:t>
      </w:r>
      <w:r>
        <w:rPr>
          <w:rFonts w:ascii="黑体" w:eastAsia="黑体" w:hint="eastAsia"/>
          <w:b/>
          <w:sz w:val="28"/>
          <w:szCs w:val="28"/>
        </w:rPr>
        <w:t>二、收入支出决算总体情况说明</w:t>
      </w:r>
    </w:p>
    <w:p w:rsidR="00FB1853" w:rsidRDefault="00A9080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24624.26</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减少12928.95万元，下降34.43%。</w:t>
      </w:r>
    </w:p>
    <w:p w:rsidR="00FB1853" w:rsidRDefault="00A9080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FB1853" w:rsidRDefault="00A9080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18909.23</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减少17488.33万元，下降48.05%。</w:t>
      </w:r>
    </w:p>
    <w:p w:rsidR="00FB1853" w:rsidRDefault="00A9080B">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18909.23</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18909.23</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B1853" w:rsidRDefault="00A9080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B1853" w:rsidRDefault="00A9080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B1853" w:rsidRDefault="00A9080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B1853" w:rsidRDefault="00A9080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B1853" w:rsidRDefault="00A9080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FB1853" w:rsidRDefault="00FB1853">
      <w:pPr>
        <w:spacing w:line="560" w:lineRule="exact"/>
        <w:ind w:firstLine="640"/>
        <w:rPr>
          <w:rFonts w:ascii="仿宋_GB2312" w:eastAsia="仿宋_GB2312" w:cs="Droid Sans"/>
          <w:color w:val="000000"/>
          <w:sz w:val="32"/>
          <w:szCs w:val="32"/>
        </w:rPr>
      </w:pPr>
    </w:p>
    <w:p w:rsidR="00FB1853" w:rsidRDefault="00A9080B">
      <w:pPr>
        <w:pStyle w:val="2"/>
        <w:jc w:val="center"/>
      </w:pPr>
      <w:r>
        <w:rPr>
          <w:rFonts w:ascii="仿宋_GB2312" w:eastAsia="仿宋_GB2312" w:hint="eastAsia"/>
          <w:color w:val="000000"/>
          <w:sz w:val="32"/>
        </w:rPr>
        <w:lastRenderedPageBreak/>
        <w:t>图1：收入决算</w:t>
      </w:r>
    </w:p>
    <w:p w:rsidR="00FB1853" w:rsidRDefault="00A9080B">
      <w:pPr>
        <w:jc w:val="center"/>
      </w:pPr>
      <w:r>
        <w:rPr>
          <w:rFonts w:hint="eastAsia"/>
          <w:noProof/>
        </w:rPr>
        <w:drawing>
          <wp:inline distT="0" distB="0" distL="114300" distR="114300">
            <wp:extent cx="4408805" cy="2477770"/>
            <wp:effectExtent l="0" t="0" r="10795" b="1778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B1853" w:rsidRDefault="00A9080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FB1853" w:rsidRDefault="00A9080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22667.55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减少8720.31万元，下降27.78%，其中：基本支出</w:t>
      </w:r>
      <w:r>
        <w:rPr>
          <w:rFonts w:ascii="仿宋_GB2312" w:eastAsia="仿宋_GB2312"/>
          <w:sz w:val="28"/>
          <w:szCs w:val="28"/>
        </w:rPr>
        <w:t>4144</w:t>
      </w:r>
      <w:r>
        <w:rPr>
          <w:rFonts w:ascii="仿宋_GB2312" w:eastAsia="仿宋_GB2312" w:hint="eastAsia"/>
          <w:sz w:val="28"/>
          <w:szCs w:val="28"/>
        </w:rPr>
        <w:t>万元，占支出合计的</w:t>
      </w:r>
      <w:r>
        <w:rPr>
          <w:rFonts w:ascii="仿宋_GB2312" w:eastAsia="仿宋_GB2312"/>
          <w:sz w:val="28"/>
          <w:szCs w:val="28"/>
        </w:rPr>
        <w:t>18.</w:t>
      </w:r>
      <w:r>
        <w:rPr>
          <w:rFonts w:ascii="仿宋_GB2312" w:eastAsia="仿宋_GB2312" w:hint="eastAsia"/>
          <w:sz w:val="28"/>
          <w:szCs w:val="28"/>
        </w:rPr>
        <w:t>28%；项目支出</w:t>
      </w:r>
      <w:r>
        <w:rPr>
          <w:rFonts w:ascii="仿宋_GB2312" w:eastAsia="仿宋_GB2312"/>
          <w:sz w:val="28"/>
          <w:szCs w:val="28"/>
        </w:rPr>
        <w:t>18523.54</w:t>
      </w:r>
      <w:r>
        <w:rPr>
          <w:rFonts w:ascii="仿宋_GB2312" w:eastAsia="仿宋_GB2312" w:hint="eastAsia"/>
          <w:sz w:val="28"/>
          <w:szCs w:val="28"/>
        </w:rPr>
        <w:t>万元，占支出合计的</w:t>
      </w:r>
      <w:r>
        <w:rPr>
          <w:rFonts w:ascii="仿宋_GB2312" w:eastAsia="仿宋_GB2312"/>
          <w:sz w:val="28"/>
          <w:szCs w:val="28"/>
        </w:rPr>
        <w:t>81.7</w:t>
      </w:r>
      <w:r>
        <w:rPr>
          <w:rFonts w:ascii="仿宋_GB2312" w:eastAsia="仿宋_GB2312" w:hint="eastAsia"/>
          <w:sz w:val="28"/>
          <w:szCs w:val="28"/>
        </w:rPr>
        <w:t>2%;上缴上级支出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FB1853" w:rsidRDefault="00A9080B">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FB1853" w:rsidRDefault="00A9080B">
      <w:pPr>
        <w:jc w:val="center"/>
        <w:rPr>
          <w:rFonts w:ascii="黑体" w:eastAsia="黑体"/>
          <w:b/>
          <w:sz w:val="28"/>
          <w:szCs w:val="28"/>
        </w:rPr>
      </w:pPr>
      <w:r>
        <w:rPr>
          <w:noProof/>
        </w:rPr>
        <w:drawing>
          <wp:inline distT="0" distB="0" distL="114300" distR="114300">
            <wp:extent cx="4572000" cy="2743200"/>
            <wp:effectExtent l="0" t="0" r="19050" b="190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B1853" w:rsidRDefault="00A9080B" w:rsidP="006E345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FB1853" w:rsidRDefault="00A9080B">
      <w:pPr>
        <w:tabs>
          <w:tab w:val="center" w:pos="6979"/>
        </w:tabs>
        <w:spacing w:line="580" w:lineRule="exact"/>
        <w:ind w:firstLine="570"/>
        <w:rPr>
          <w:rFonts w:ascii="仿宋_GB2312" w:eastAsia="仿宋_GB2312"/>
          <w:color w:val="FF0000"/>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23937.89</w:t>
      </w:r>
      <w:r>
        <w:rPr>
          <w:rFonts w:ascii="仿宋_GB2312" w:eastAsia="仿宋_GB2312" w:hint="eastAsia"/>
          <w:sz w:val="28"/>
          <w:szCs w:val="28"/>
        </w:rPr>
        <w:t>万元，比上年减少12919.84万元，下降35.05%。主要原因：</w:t>
      </w:r>
      <w:r w:rsidR="00916514" w:rsidRPr="00A80AC0">
        <w:rPr>
          <w:rFonts w:ascii="仿宋_GB2312" w:eastAsia="仿宋_GB2312" w:hint="eastAsia"/>
          <w:sz w:val="28"/>
          <w:szCs w:val="28"/>
        </w:rPr>
        <w:t>按照疫情防控</w:t>
      </w:r>
      <w:r w:rsidR="00916514">
        <w:rPr>
          <w:rFonts w:ascii="仿宋_GB2312" w:eastAsia="仿宋_GB2312" w:hint="eastAsia"/>
          <w:sz w:val="28"/>
          <w:szCs w:val="28"/>
        </w:rPr>
        <w:t>政策调整</w:t>
      </w:r>
      <w:r w:rsidR="00916514" w:rsidRPr="00A80AC0">
        <w:rPr>
          <w:rFonts w:ascii="仿宋_GB2312" w:eastAsia="仿宋_GB2312" w:hint="eastAsia"/>
          <w:sz w:val="28"/>
          <w:szCs w:val="28"/>
        </w:rPr>
        <w:t>减少</w:t>
      </w:r>
      <w:r w:rsidR="00145EBE">
        <w:rPr>
          <w:rFonts w:ascii="仿宋_GB2312" w:eastAsia="仿宋_GB2312" w:hint="eastAsia"/>
          <w:sz w:val="28"/>
          <w:szCs w:val="28"/>
        </w:rPr>
        <w:t>一次性</w:t>
      </w:r>
      <w:r w:rsidR="00916514">
        <w:rPr>
          <w:rFonts w:ascii="仿宋_GB2312" w:eastAsia="仿宋_GB2312" w:hint="eastAsia"/>
          <w:sz w:val="28"/>
          <w:szCs w:val="28"/>
        </w:rPr>
        <w:t>投入</w:t>
      </w:r>
      <w:r>
        <w:rPr>
          <w:rFonts w:ascii="仿宋_GB2312" w:eastAsia="仿宋_GB2312" w:hint="eastAsia"/>
          <w:sz w:val="28"/>
          <w:szCs w:val="28"/>
        </w:rPr>
        <w:t>。</w:t>
      </w:r>
    </w:p>
    <w:p w:rsidR="00FB1853" w:rsidRDefault="00A9080B" w:rsidP="006E345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FB1853" w:rsidRDefault="00A9080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FB1853" w:rsidRDefault="00A9080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22550.99</w:t>
      </w:r>
      <w:r>
        <w:rPr>
          <w:rFonts w:ascii="仿宋_GB2312" w:eastAsia="仿宋_GB2312" w:hint="eastAsia"/>
          <w:sz w:val="28"/>
          <w:szCs w:val="28"/>
        </w:rPr>
        <w:t>万元，主要用于以下方面：一般公共服务支出8261.83万元，占本年财政拨款支出36.64%； 教育支出95.23万元，占本年财政拨款支出0.42%；社会保障和就业支出427.43万元，占本</w:t>
      </w:r>
      <w:r>
        <w:rPr>
          <w:rFonts w:ascii="仿宋_GB2312" w:eastAsia="仿宋_GB2312" w:hint="eastAsia"/>
          <w:sz w:val="28"/>
          <w:szCs w:val="28"/>
        </w:rPr>
        <w:lastRenderedPageBreak/>
        <w:t>年财政拨款支出1.9</w:t>
      </w:r>
      <w:r w:rsidR="007C1008">
        <w:rPr>
          <w:rFonts w:ascii="仿宋_GB2312" w:eastAsia="仿宋_GB2312" w:hint="eastAsia"/>
          <w:sz w:val="28"/>
          <w:szCs w:val="28"/>
        </w:rPr>
        <w:t>0</w:t>
      </w:r>
      <w:r>
        <w:rPr>
          <w:rFonts w:ascii="仿宋_GB2312" w:eastAsia="仿宋_GB2312" w:hint="eastAsia"/>
          <w:sz w:val="28"/>
          <w:szCs w:val="28"/>
        </w:rPr>
        <w:t>%；卫生健康支出265.23万元，占本年财政拨款支出1.18%；粮油物资储备支出8531.02万元，占本年财政拨款支出37.83%；其他支出4970.24万元，占本年财政拨款支出22.04%。</w:t>
      </w:r>
    </w:p>
    <w:p w:rsidR="00FB1853" w:rsidRDefault="00A9080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FB1853" w:rsidRDefault="00A9080B">
      <w:pPr>
        <w:autoSpaceDE w:val="0"/>
        <w:autoSpaceDN w:val="0"/>
        <w:adjustRightInd w:val="0"/>
        <w:spacing w:line="580" w:lineRule="exact"/>
        <w:ind w:firstLineChars="200" w:firstLine="560"/>
        <w:jc w:val="center"/>
        <w:rPr>
          <w:rFonts w:ascii="仿宋_GB2312" w:eastAsia="仿宋_GB2312"/>
          <w:sz w:val="28"/>
          <w:szCs w:val="28"/>
        </w:rPr>
      </w:pPr>
      <w:r>
        <w:rPr>
          <w:rFonts w:ascii="仿宋_GB2312" w:eastAsia="仿宋_GB2312" w:hint="eastAsia"/>
          <w:sz w:val="28"/>
          <w:szCs w:val="28"/>
        </w:rPr>
        <w:t>1、“一般公共服务支出” 2023年度决算8261.83万元，比2023年度年初预算减少4521.52万元，下降35.37%。其中：</w:t>
      </w:r>
    </w:p>
    <w:p w:rsidR="00FB1853" w:rsidRDefault="00A9080B">
      <w:pPr>
        <w:tabs>
          <w:tab w:val="center" w:pos="6979"/>
        </w:tabs>
        <w:spacing w:line="580" w:lineRule="exact"/>
        <w:ind w:firstLine="570"/>
        <w:rPr>
          <w:rFonts w:ascii="仿宋_GB2312" w:eastAsia="仿宋_GB2312"/>
          <w:color w:val="FF0000"/>
          <w:sz w:val="28"/>
          <w:szCs w:val="28"/>
        </w:rPr>
      </w:pPr>
      <w:r>
        <w:rPr>
          <w:rFonts w:ascii="仿宋_GB2312" w:eastAsia="仿宋_GB2312" w:hint="eastAsia"/>
          <w:sz w:val="28"/>
          <w:szCs w:val="28"/>
        </w:rPr>
        <w:t>“市场监督管理事务” 2023年度决算8261.83万元，比2023年度年初预算减少4521.52万元，下降35.37%。主要原因：</w:t>
      </w:r>
      <w:r w:rsidR="00452E72">
        <w:rPr>
          <w:rFonts w:ascii="仿宋_GB2312" w:eastAsia="仿宋_GB2312" w:hint="eastAsia"/>
          <w:sz w:val="28"/>
          <w:szCs w:val="28"/>
        </w:rPr>
        <w:t>将“两品</w:t>
      </w:r>
      <w:proofErr w:type="gramStart"/>
      <w:r w:rsidR="00452E72">
        <w:rPr>
          <w:rFonts w:ascii="仿宋_GB2312" w:eastAsia="仿宋_GB2312" w:hint="eastAsia"/>
          <w:sz w:val="28"/>
          <w:szCs w:val="28"/>
        </w:rPr>
        <w:t>一</w:t>
      </w:r>
      <w:proofErr w:type="gramEnd"/>
      <w:r w:rsidR="00452E72">
        <w:rPr>
          <w:rFonts w:ascii="仿宋_GB2312" w:eastAsia="仿宋_GB2312" w:hint="eastAsia"/>
          <w:sz w:val="28"/>
          <w:szCs w:val="28"/>
        </w:rPr>
        <w:t>械”监督抽验经费分配至承检</w:t>
      </w:r>
      <w:r w:rsidR="00915DCB">
        <w:rPr>
          <w:rFonts w:ascii="仿宋_GB2312" w:eastAsia="仿宋_GB2312" w:hint="eastAsia"/>
          <w:sz w:val="28"/>
          <w:szCs w:val="28"/>
        </w:rPr>
        <w:t>单位</w:t>
      </w:r>
      <w:r w:rsidR="00452E72">
        <w:rPr>
          <w:rFonts w:ascii="仿宋_GB2312" w:eastAsia="仿宋_GB2312" w:hint="eastAsia"/>
          <w:sz w:val="28"/>
          <w:szCs w:val="28"/>
        </w:rPr>
        <w:t>；</w:t>
      </w:r>
      <w:r>
        <w:rPr>
          <w:rFonts w:ascii="仿宋_GB2312" w:eastAsia="仿宋_GB2312" w:hint="eastAsia"/>
          <w:sz w:val="28"/>
          <w:szCs w:val="28"/>
        </w:rPr>
        <w:t>严格落实过“紧日子”要求，压减一般性支出。</w:t>
      </w:r>
    </w:p>
    <w:p w:rsidR="00FB1853" w:rsidRDefault="00A9080B">
      <w:pPr>
        <w:spacing w:line="580" w:lineRule="exact"/>
        <w:ind w:firstLineChars="200" w:firstLine="560"/>
        <w:rPr>
          <w:rFonts w:ascii="仿宋_GB2312" w:eastAsia="仿宋_GB2312"/>
          <w:sz w:val="28"/>
          <w:szCs w:val="28"/>
        </w:rPr>
      </w:pPr>
      <w:r>
        <w:rPr>
          <w:rFonts w:ascii="仿宋_GB2312" w:eastAsia="仿宋_GB2312" w:hint="eastAsia"/>
          <w:sz w:val="28"/>
          <w:szCs w:val="28"/>
        </w:rPr>
        <w:t>2、“教育支出”2023年度决算</w:t>
      </w:r>
      <w:r>
        <w:rPr>
          <w:rFonts w:ascii="仿宋_GB2312" w:eastAsia="仿宋_GB2312"/>
          <w:sz w:val="28"/>
          <w:szCs w:val="28"/>
        </w:rPr>
        <w:t>95.23</w:t>
      </w:r>
      <w:r>
        <w:rPr>
          <w:rFonts w:ascii="仿宋_GB2312" w:eastAsia="仿宋_GB2312" w:hint="eastAsia"/>
          <w:sz w:val="28"/>
          <w:szCs w:val="28"/>
        </w:rPr>
        <w:t>万元，比2023年度年初预算减少124.57万元，下降56.67%。其中：</w:t>
      </w:r>
    </w:p>
    <w:p w:rsidR="00FB1853" w:rsidRDefault="00A9080B">
      <w:pPr>
        <w:tabs>
          <w:tab w:val="center" w:pos="6979"/>
        </w:tabs>
        <w:spacing w:line="580" w:lineRule="exact"/>
        <w:ind w:firstLine="570"/>
        <w:rPr>
          <w:rFonts w:ascii="仿宋_GB2312" w:eastAsia="仿宋_GB2312"/>
          <w:color w:val="FF0000"/>
          <w:sz w:val="28"/>
          <w:szCs w:val="28"/>
        </w:rPr>
      </w:pPr>
      <w:r>
        <w:rPr>
          <w:rFonts w:ascii="仿宋_GB2312" w:eastAsia="仿宋_GB2312" w:hint="eastAsia"/>
          <w:sz w:val="28"/>
          <w:szCs w:val="28"/>
        </w:rPr>
        <w:t>“进修及培训”2023年度决算95.23万元，比2023年度年初预算减少124.57万元，下降56.67%。主要原因：严格落实过“紧日子”要求，压减一般性支出。</w:t>
      </w:r>
    </w:p>
    <w:p w:rsidR="00FB1853" w:rsidRDefault="00A9080B">
      <w:pPr>
        <w:spacing w:line="580" w:lineRule="exact"/>
        <w:ind w:firstLineChars="200" w:firstLine="560"/>
        <w:rPr>
          <w:rFonts w:ascii="仿宋_GB2312" w:eastAsia="仿宋_GB2312"/>
          <w:color w:val="FF0000"/>
          <w:sz w:val="28"/>
          <w:szCs w:val="28"/>
        </w:rPr>
      </w:pPr>
      <w:r>
        <w:rPr>
          <w:rFonts w:ascii="仿宋_GB2312" w:eastAsia="仿宋_GB2312" w:hint="eastAsia"/>
          <w:sz w:val="28"/>
          <w:szCs w:val="28"/>
        </w:rPr>
        <w:t>3、“社会保障和就业支出”2023年度决算</w:t>
      </w:r>
      <w:r>
        <w:rPr>
          <w:rFonts w:ascii="仿宋_GB2312" w:eastAsia="仿宋_GB2312"/>
          <w:sz w:val="28"/>
          <w:szCs w:val="28"/>
        </w:rPr>
        <w:t>427.43</w:t>
      </w:r>
      <w:r>
        <w:rPr>
          <w:rFonts w:ascii="仿宋_GB2312" w:eastAsia="仿宋_GB2312" w:hint="eastAsia"/>
          <w:sz w:val="28"/>
          <w:szCs w:val="28"/>
        </w:rPr>
        <w:t>万元，比2023年度年初预算增加6.44万元，增长1.53%。其中：</w:t>
      </w:r>
    </w:p>
    <w:p w:rsidR="00FB1853" w:rsidRDefault="00A9080B">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Pr>
          <w:rFonts w:hint="eastAsia"/>
        </w:rPr>
        <w:t xml:space="preserve"> </w:t>
      </w:r>
      <w:r>
        <w:rPr>
          <w:rFonts w:ascii="仿宋_GB2312" w:eastAsia="仿宋_GB2312" w:hint="eastAsia"/>
          <w:sz w:val="28"/>
          <w:szCs w:val="28"/>
        </w:rPr>
        <w:t>2023年度决算427.43万元，比2023年度年初预算增加6.44万元，增长1.53%。主要原因：落实机关事业单位养老保障政策，按规定缴纳养老保险及职业年金。</w:t>
      </w:r>
    </w:p>
    <w:p w:rsidR="00FB1853" w:rsidRDefault="00A9080B">
      <w:pPr>
        <w:spacing w:line="580" w:lineRule="exact"/>
        <w:ind w:firstLineChars="200" w:firstLine="560"/>
        <w:rPr>
          <w:rFonts w:ascii="仿宋_GB2312" w:eastAsia="仿宋_GB2312"/>
          <w:sz w:val="28"/>
          <w:szCs w:val="28"/>
        </w:rPr>
      </w:pPr>
      <w:r>
        <w:rPr>
          <w:rFonts w:ascii="仿宋_GB2312" w:eastAsia="仿宋_GB2312" w:hint="eastAsia"/>
          <w:sz w:val="28"/>
          <w:szCs w:val="28"/>
        </w:rPr>
        <w:t>4、“卫生健康支出”2023年度决算265.23万元，与2023年度年初预算265.23万元持平。其中：</w:t>
      </w:r>
    </w:p>
    <w:p w:rsidR="00FB1853" w:rsidRDefault="00A9080B">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“行政事业单位医疗”2023年度决算265.23万元，与2023年度年初预算265.23万元持平。主要原因：落实全市统一要求，缴纳职工基本医疗保险。</w:t>
      </w:r>
    </w:p>
    <w:p w:rsidR="00FB1853" w:rsidRDefault="00A9080B">
      <w:pPr>
        <w:spacing w:line="580" w:lineRule="exact"/>
        <w:ind w:firstLineChars="200" w:firstLine="560"/>
        <w:rPr>
          <w:rFonts w:ascii="仿宋_GB2312" w:eastAsia="仿宋_GB2312"/>
          <w:sz w:val="28"/>
          <w:szCs w:val="28"/>
        </w:rPr>
      </w:pPr>
      <w:r>
        <w:rPr>
          <w:rFonts w:ascii="仿宋_GB2312" w:eastAsia="仿宋_GB2312" w:hint="eastAsia"/>
          <w:sz w:val="28"/>
          <w:szCs w:val="28"/>
        </w:rPr>
        <w:t>5、“粮油物资储备支出”2023年度决算</w:t>
      </w:r>
      <w:r>
        <w:rPr>
          <w:rFonts w:ascii="仿宋_GB2312" w:eastAsia="仿宋_GB2312"/>
          <w:sz w:val="28"/>
          <w:szCs w:val="28"/>
        </w:rPr>
        <w:t>8531.02</w:t>
      </w:r>
      <w:r>
        <w:rPr>
          <w:rFonts w:ascii="仿宋_GB2312" w:eastAsia="仿宋_GB2312" w:hint="eastAsia"/>
          <w:sz w:val="28"/>
          <w:szCs w:val="28"/>
        </w:rPr>
        <w:t>万元，比2023年度年初预算</w:t>
      </w:r>
      <w:r w:rsidR="00C70E34">
        <w:rPr>
          <w:rFonts w:ascii="仿宋_GB2312" w:eastAsia="仿宋_GB2312" w:hint="eastAsia"/>
          <w:sz w:val="28"/>
          <w:szCs w:val="28"/>
        </w:rPr>
        <w:t>增加</w:t>
      </w:r>
      <w:r>
        <w:rPr>
          <w:rFonts w:ascii="仿宋_GB2312" w:eastAsia="仿宋_GB2312" w:hint="eastAsia"/>
          <w:sz w:val="28"/>
          <w:szCs w:val="28"/>
        </w:rPr>
        <w:t>5778.29万元，</w:t>
      </w:r>
      <w:r w:rsidR="00C70E34">
        <w:rPr>
          <w:rFonts w:ascii="仿宋_GB2312" w:eastAsia="仿宋_GB2312" w:hint="eastAsia"/>
          <w:sz w:val="28"/>
          <w:szCs w:val="28"/>
        </w:rPr>
        <w:t>增长209.91</w:t>
      </w:r>
      <w:r>
        <w:rPr>
          <w:rFonts w:ascii="仿宋_GB2312" w:eastAsia="仿宋_GB2312" w:hint="eastAsia"/>
          <w:sz w:val="28"/>
          <w:szCs w:val="28"/>
        </w:rPr>
        <w:t>%。</w:t>
      </w:r>
      <w:r>
        <w:rPr>
          <w:rFonts w:ascii="仿宋_GB2312" w:eastAsia="仿宋_GB2312" w:hint="eastAsia"/>
          <w:sz w:val="28"/>
          <w:szCs w:val="28"/>
        </w:rPr>
        <w:lastRenderedPageBreak/>
        <w:t>其中：</w:t>
      </w:r>
    </w:p>
    <w:p w:rsidR="00FB1853" w:rsidRDefault="00A9080B">
      <w:pPr>
        <w:spacing w:line="580" w:lineRule="exact"/>
        <w:ind w:firstLineChars="200" w:firstLine="560"/>
        <w:rPr>
          <w:rFonts w:ascii="仿宋_GB2312" w:eastAsia="仿宋_GB2312"/>
          <w:sz w:val="28"/>
          <w:szCs w:val="28"/>
        </w:rPr>
      </w:pPr>
      <w:r>
        <w:rPr>
          <w:rFonts w:ascii="仿宋_GB2312" w:eastAsia="仿宋_GB2312" w:hint="eastAsia"/>
          <w:sz w:val="28"/>
          <w:szCs w:val="28"/>
        </w:rPr>
        <w:t>“重要商品储备”2023年度决算8531.02万元，比2023年度年初预算</w:t>
      </w:r>
      <w:r w:rsidR="00C70E34">
        <w:rPr>
          <w:rFonts w:ascii="仿宋_GB2312" w:eastAsia="仿宋_GB2312" w:hint="eastAsia"/>
          <w:sz w:val="28"/>
          <w:szCs w:val="28"/>
        </w:rPr>
        <w:t>增加</w:t>
      </w:r>
      <w:r>
        <w:rPr>
          <w:rFonts w:ascii="仿宋_GB2312" w:eastAsia="仿宋_GB2312" w:hint="eastAsia"/>
          <w:sz w:val="28"/>
          <w:szCs w:val="28"/>
        </w:rPr>
        <w:t>5778.29万元，</w:t>
      </w:r>
      <w:r w:rsidR="00C70E34">
        <w:rPr>
          <w:rFonts w:ascii="仿宋_GB2312" w:eastAsia="仿宋_GB2312" w:hint="eastAsia"/>
          <w:sz w:val="28"/>
          <w:szCs w:val="28"/>
        </w:rPr>
        <w:t>增长</w:t>
      </w:r>
      <w:r>
        <w:rPr>
          <w:rFonts w:ascii="仿宋_GB2312" w:eastAsia="仿宋_GB2312" w:hint="eastAsia"/>
          <w:sz w:val="28"/>
          <w:szCs w:val="28"/>
        </w:rPr>
        <w:t>2</w:t>
      </w:r>
      <w:r w:rsidR="00C70E34">
        <w:rPr>
          <w:rFonts w:ascii="仿宋_GB2312" w:eastAsia="仿宋_GB2312" w:hint="eastAsia"/>
          <w:sz w:val="28"/>
          <w:szCs w:val="28"/>
        </w:rPr>
        <w:t>09.91</w:t>
      </w:r>
      <w:r>
        <w:rPr>
          <w:rFonts w:ascii="仿宋_GB2312" w:eastAsia="仿宋_GB2312" w:hint="eastAsia"/>
          <w:sz w:val="28"/>
          <w:szCs w:val="28"/>
        </w:rPr>
        <w:t>%。主要原因：</w:t>
      </w:r>
      <w:r w:rsidR="00E6649C">
        <w:rPr>
          <w:rFonts w:ascii="仿宋_GB2312" w:eastAsia="仿宋_GB2312" w:hint="eastAsia"/>
          <w:sz w:val="28"/>
          <w:szCs w:val="28"/>
        </w:rPr>
        <w:t>落实市政府工作部署，增加应急采购投入</w:t>
      </w:r>
      <w:r>
        <w:rPr>
          <w:rFonts w:ascii="仿宋_GB2312" w:eastAsia="仿宋_GB2312" w:hint="eastAsia"/>
          <w:sz w:val="28"/>
          <w:szCs w:val="28"/>
        </w:rPr>
        <w:t>。</w:t>
      </w:r>
    </w:p>
    <w:p w:rsidR="00FB1853" w:rsidRDefault="00A9080B">
      <w:pPr>
        <w:spacing w:line="580" w:lineRule="exact"/>
        <w:ind w:firstLineChars="200" w:firstLine="560"/>
        <w:rPr>
          <w:rFonts w:ascii="仿宋_GB2312" w:eastAsia="仿宋_GB2312"/>
          <w:sz w:val="28"/>
          <w:szCs w:val="28"/>
        </w:rPr>
      </w:pPr>
      <w:r>
        <w:rPr>
          <w:rFonts w:ascii="仿宋_GB2312" w:eastAsia="仿宋_GB2312" w:hint="eastAsia"/>
          <w:sz w:val="28"/>
          <w:szCs w:val="28"/>
        </w:rPr>
        <w:t>6、“其他支出”2023年度决算4970.24万元，比2023年度年初预算减少29.76万元，下降0.6%。其中：</w:t>
      </w:r>
    </w:p>
    <w:p w:rsidR="00FB1853" w:rsidRDefault="00A9080B">
      <w:pPr>
        <w:pStyle w:val="a0"/>
        <w:ind w:firstLine="420"/>
        <w:rPr>
          <w:rFonts w:ascii="仿宋_GB2312" w:eastAsia="仿宋_GB2312"/>
          <w:sz w:val="28"/>
          <w:szCs w:val="28"/>
        </w:rPr>
      </w:pPr>
      <w:r>
        <w:rPr>
          <w:rFonts w:hint="eastAsia"/>
        </w:rPr>
        <w:t xml:space="preserve"> </w:t>
      </w:r>
      <w:r>
        <w:rPr>
          <w:rFonts w:ascii="仿宋_GB2312" w:eastAsia="仿宋_GB2312" w:hint="eastAsia"/>
          <w:sz w:val="28"/>
          <w:szCs w:val="28"/>
        </w:rPr>
        <w:t>“其他支出”2023年度决算4970.24万元，比2023年度年初预算减少29.76万元，下降0.6%。主要原因：</w:t>
      </w:r>
      <w:r w:rsidR="00544569">
        <w:rPr>
          <w:rFonts w:ascii="仿宋_GB2312" w:eastAsia="仿宋_GB2312" w:hint="eastAsia"/>
          <w:sz w:val="28"/>
          <w:szCs w:val="28"/>
        </w:rPr>
        <w:t>据实结算</w:t>
      </w:r>
      <w:r w:rsidR="00544569" w:rsidRPr="00544569">
        <w:rPr>
          <w:rFonts w:ascii="仿宋_GB2312" w:eastAsia="仿宋_GB2312" w:hint="eastAsia"/>
          <w:sz w:val="28"/>
          <w:szCs w:val="28"/>
        </w:rPr>
        <w:t>医疗设备配件应急采购</w:t>
      </w:r>
      <w:r w:rsidR="00544569">
        <w:rPr>
          <w:rFonts w:ascii="仿宋_GB2312" w:eastAsia="仿宋_GB2312" w:hint="eastAsia"/>
          <w:sz w:val="28"/>
          <w:szCs w:val="28"/>
        </w:rPr>
        <w:t>费用</w:t>
      </w:r>
      <w:r>
        <w:rPr>
          <w:rFonts w:ascii="仿宋_GB2312" w:eastAsia="仿宋_GB2312" w:hint="eastAsia"/>
          <w:sz w:val="28"/>
          <w:szCs w:val="28"/>
        </w:rPr>
        <w:t>。</w:t>
      </w:r>
    </w:p>
    <w:p w:rsidR="00FB1853" w:rsidRDefault="00A9080B" w:rsidP="006E345F">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FB1853" w:rsidRDefault="00A9080B">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本年度无此项支出。</w:t>
      </w:r>
    </w:p>
    <w:p w:rsidR="00FB1853" w:rsidRDefault="00A9080B" w:rsidP="006E345F">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FB1853" w:rsidRDefault="00A9080B" w:rsidP="006E345F">
      <w:pPr>
        <w:ind w:firstLineChars="192" w:firstLine="538"/>
        <w:rPr>
          <w:rFonts w:ascii="仿宋_GB2312" w:eastAsia="仿宋_GB2312"/>
          <w:sz w:val="28"/>
          <w:szCs w:val="28"/>
        </w:rPr>
      </w:pPr>
      <w:r>
        <w:rPr>
          <w:rFonts w:ascii="仿宋_GB2312" w:eastAsia="仿宋_GB2312" w:hint="eastAsia"/>
          <w:sz w:val="28"/>
          <w:szCs w:val="28"/>
        </w:rPr>
        <w:t>本年度无此项经费。</w:t>
      </w:r>
    </w:p>
    <w:p w:rsidR="00FB1853" w:rsidRDefault="00A9080B" w:rsidP="006E345F">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FB1853" w:rsidRDefault="00A9080B" w:rsidP="006E345F">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4032.19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w:t>
      </w:r>
      <w:r>
        <w:rPr>
          <w:rFonts w:ascii="仿宋_GB2312" w:eastAsia="仿宋_GB2312"/>
          <w:sz w:val="28"/>
          <w:szCs w:val="28"/>
        </w:rPr>
        <w:lastRenderedPageBreak/>
        <w:t>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FB1853" w:rsidRDefault="00A9080B">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FB1853" w:rsidRDefault="00A9080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FB1853" w:rsidRDefault="00A9080B">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bCs/>
          <w:sz w:val="28"/>
          <w:szCs w:val="28"/>
        </w:rPr>
        <w:t>1</w:t>
      </w:r>
      <w:r>
        <w:rPr>
          <w:rFonts w:ascii="仿宋_GB2312" w:eastAsia="仿宋_GB2312" w:hint="eastAsia"/>
          <w:sz w:val="28"/>
          <w:szCs w:val="28"/>
        </w:rPr>
        <w:t>个行政单位。2023年度“三公”经费财政拨款决算数</w:t>
      </w:r>
      <w:r>
        <w:rPr>
          <w:rFonts w:ascii="仿宋_GB2312" w:eastAsia="仿宋_GB2312"/>
          <w:sz w:val="28"/>
          <w:szCs w:val="28"/>
        </w:rPr>
        <w:t>13.36</w:t>
      </w:r>
      <w:r>
        <w:rPr>
          <w:rFonts w:ascii="仿宋_GB2312" w:eastAsia="仿宋_GB2312" w:hint="eastAsia"/>
          <w:sz w:val="28"/>
          <w:szCs w:val="28"/>
        </w:rPr>
        <w:t>万元，比2023年度“三公”经费财政拨款年初预算</w:t>
      </w:r>
      <w:r>
        <w:rPr>
          <w:rFonts w:ascii="仿宋_GB2312" w:eastAsia="仿宋_GB2312"/>
          <w:sz w:val="28"/>
          <w:szCs w:val="28"/>
        </w:rPr>
        <w:t>192.61</w:t>
      </w:r>
      <w:r>
        <w:rPr>
          <w:rFonts w:ascii="仿宋_GB2312" w:eastAsia="仿宋_GB2312" w:hint="eastAsia"/>
          <w:sz w:val="28"/>
          <w:szCs w:val="28"/>
        </w:rPr>
        <w:t>万元减少</w:t>
      </w:r>
      <w:r>
        <w:rPr>
          <w:rFonts w:ascii="仿宋_GB2312" w:eastAsia="仿宋_GB2312"/>
          <w:sz w:val="28"/>
          <w:szCs w:val="28"/>
        </w:rPr>
        <w:t>179.2</w:t>
      </w:r>
      <w:r>
        <w:rPr>
          <w:rFonts w:ascii="仿宋_GB2312" w:eastAsia="仿宋_GB2312" w:hint="eastAsia"/>
          <w:sz w:val="28"/>
          <w:szCs w:val="28"/>
        </w:rPr>
        <w:t>5万元。其中：</w:t>
      </w:r>
    </w:p>
    <w:p w:rsidR="00FB1853" w:rsidRDefault="00A9080B">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141.61</w:t>
      </w:r>
      <w:r>
        <w:rPr>
          <w:rFonts w:ascii="仿宋_GB2312" w:eastAsia="仿宋_GB2312" w:hint="eastAsia"/>
          <w:sz w:val="28"/>
          <w:szCs w:val="28"/>
        </w:rPr>
        <w:t>万元减少</w:t>
      </w:r>
      <w:r>
        <w:rPr>
          <w:rFonts w:ascii="仿宋_GB2312" w:eastAsia="仿宋_GB2312"/>
          <w:sz w:val="28"/>
          <w:szCs w:val="28"/>
        </w:rPr>
        <w:t>141.61</w:t>
      </w:r>
      <w:r>
        <w:rPr>
          <w:rFonts w:ascii="仿宋_GB2312" w:eastAsia="仿宋_GB2312" w:hint="eastAsia"/>
          <w:sz w:val="28"/>
          <w:szCs w:val="28"/>
        </w:rPr>
        <w:t>万元。主要原因：全年未安排因公出国任务；2023年度因公出国（境）费用无支出。</w:t>
      </w:r>
    </w:p>
    <w:p w:rsidR="00FB1853" w:rsidRDefault="00A9080B">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0.16</w:t>
      </w:r>
      <w:r>
        <w:rPr>
          <w:rFonts w:ascii="仿宋_GB2312" w:eastAsia="仿宋_GB2312" w:hint="eastAsia"/>
          <w:sz w:val="28"/>
          <w:szCs w:val="28"/>
        </w:rPr>
        <w:t>万元，比2023年度年初预算数</w:t>
      </w:r>
      <w:r>
        <w:rPr>
          <w:rFonts w:ascii="仿宋_GB2312" w:eastAsia="仿宋_GB2312"/>
          <w:sz w:val="28"/>
          <w:szCs w:val="28"/>
        </w:rPr>
        <w:t>1</w:t>
      </w:r>
      <w:r>
        <w:rPr>
          <w:rFonts w:ascii="仿宋_GB2312" w:eastAsia="仿宋_GB2312" w:hint="eastAsia"/>
          <w:sz w:val="28"/>
          <w:szCs w:val="28"/>
        </w:rPr>
        <w:t>万元减少</w:t>
      </w:r>
      <w:r>
        <w:rPr>
          <w:rFonts w:ascii="仿宋_GB2312" w:eastAsia="仿宋_GB2312"/>
          <w:sz w:val="28"/>
          <w:szCs w:val="28"/>
        </w:rPr>
        <w:t>0</w:t>
      </w:r>
      <w:r>
        <w:rPr>
          <w:rFonts w:ascii="仿宋_GB2312" w:eastAsia="仿宋_GB2312" w:hint="eastAsia"/>
          <w:sz w:val="28"/>
          <w:szCs w:val="28"/>
        </w:rPr>
        <w:t>.84万元。主要原因：贯彻落实中央八项规定，严格控制公务接待支出。2023年度公务接待费主要用于接待兄弟省局来京调研</w:t>
      </w:r>
      <w:r w:rsidR="00C639E9">
        <w:rPr>
          <w:rFonts w:ascii="仿宋_GB2312" w:eastAsia="仿宋_GB2312" w:hint="eastAsia"/>
          <w:sz w:val="28"/>
          <w:szCs w:val="28"/>
        </w:rPr>
        <w:t>交流工作</w:t>
      </w:r>
      <w:r w:rsidR="0007072C">
        <w:rPr>
          <w:rFonts w:ascii="仿宋_GB2312" w:eastAsia="仿宋_GB2312" w:hint="eastAsia"/>
          <w:sz w:val="28"/>
          <w:szCs w:val="28"/>
        </w:rPr>
        <w:t>。</w:t>
      </w:r>
      <w:r>
        <w:rPr>
          <w:rFonts w:ascii="仿宋_GB2312" w:eastAsia="仿宋_GB2312" w:hint="eastAsia"/>
          <w:sz w:val="28"/>
          <w:szCs w:val="28"/>
        </w:rPr>
        <w:t>公务接待2批次，公务接待18人次。</w:t>
      </w:r>
    </w:p>
    <w:p w:rsidR="00FB1853" w:rsidRDefault="00A9080B">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3.公务用车购置及运行维护费。2023年度决算数13.2</w:t>
      </w:r>
      <w:r w:rsidR="00F060C7">
        <w:rPr>
          <w:rFonts w:ascii="仿宋_GB2312" w:eastAsia="仿宋_GB2312" w:hint="eastAsia"/>
          <w:sz w:val="28"/>
          <w:szCs w:val="28"/>
        </w:rPr>
        <w:t>0</w:t>
      </w:r>
      <w:r>
        <w:rPr>
          <w:rFonts w:ascii="仿宋_GB2312" w:eastAsia="仿宋_GB2312" w:hint="eastAsia"/>
          <w:sz w:val="28"/>
          <w:szCs w:val="28"/>
        </w:rPr>
        <w:t>万元，比2023年度年初预算数50万元减少36.8万元。</w:t>
      </w:r>
    </w:p>
    <w:p w:rsidR="00FB1853" w:rsidRDefault="00A9080B">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万元持平。主要原因：2023</w:t>
      </w:r>
      <w:r w:rsidR="00CF5476">
        <w:rPr>
          <w:rFonts w:ascii="仿宋_GB2312" w:eastAsia="仿宋_GB2312" w:hint="eastAsia"/>
          <w:sz w:val="28"/>
          <w:szCs w:val="28"/>
        </w:rPr>
        <w:t>年本单位无公</w:t>
      </w:r>
      <w:bookmarkStart w:id="0" w:name="_GoBack"/>
      <w:r w:rsidR="00CF5476">
        <w:rPr>
          <w:rFonts w:ascii="仿宋_GB2312" w:eastAsia="仿宋_GB2312" w:hint="eastAsia"/>
          <w:sz w:val="28"/>
          <w:szCs w:val="28"/>
        </w:rPr>
        <w:t>务车辆购置（更新）计划</w:t>
      </w:r>
      <w:r>
        <w:rPr>
          <w:rFonts w:ascii="仿宋_GB2312" w:eastAsia="仿宋_GB2312" w:hint="eastAsia"/>
          <w:sz w:val="28"/>
          <w:szCs w:val="28"/>
        </w:rPr>
        <w:t>。公务用车运行维护</w:t>
      </w:r>
      <w:bookmarkEnd w:id="0"/>
      <w:r>
        <w:rPr>
          <w:rFonts w:ascii="仿宋_GB2312" w:eastAsia="仿宋_GB2312" w:hint="eastAsia"/>
          <w:sz w:val="28"/>
          <w:szCs w:val="28"/>
        </w:rPr>
        <w:t>费2023年度决算数</w:t>
      </w:r>
      <w:r>
        <w:rPr>
          <w:rFonts w:ascii="仿宋_GB2312" w:eastAsia="仿宋_GB2312"/>
          <w:sz w:val="28"/>
          <w:szCs w:val="28"/>
        </w:rPr>
        <w:t>13.2</w:t>
      </w:r>
      <w:r w:rsidR="00555592">
        <w:rPr>
          <w:rFonts w:ascii="仿宋_GB2312" w:eastAsia="仿宋_GB2312" w:hint="eastAsia"/>
          <w:sz w:val="28"/>
          <w:szCs w:val="28"/>
        </w:rPr>
        <w:t>0</w:t>
      </w:r>
      <w:r>
        <w:rPr>
          <w:rFonts w:ascii="仿宋_GB2312" w:eastAsia="仿宋_GB2312" w:hint="eastAsia"/>
          <w:sz w:val="28"/>
          <w:szCs w:val="28"/>
        </w:rPr>
        <w:t>万元，比2023年度年初预算数</w:t>
      </w:r>
      <w:r>
        <w:rPr>
          <w:rFonts w:ascii="仿宋_GB2312" w:eastAsia="仿宋_GB2312"/>
          <w:sz w:val="28"/>
          <w:szCs w:val="28"/>
        </w:rPr>
        <w:t>50</w:t>
      </w:r>
      <w:r>
        <w:rPr>
          <w:rFonts w:ascii="仿宋_GB2312" w:eastAsia="仿宋_GB2312" w:hint="eastAsia"/>
          <w:sz w:val="28"/>
          <w:szCs w:val="28"/>
        </w:rPr>
        <w:t>万元减少36.8万元，主要原因：加强公务用车管理，进一步规范车辆运行维护支出。2023年度公务用车运行维护费中，公务用车加油</w:t>
      </w:r>
      <w:r>
        <w:rPr>
          <w:rFonts w:ascii="仿宋_GB2312" w:eastAsia="仿宋_GB2312"/>
          <w:sz w:val="28"/>
          <w:szCs w:val="28"/>
        </w:rPr>
        <w:t>1.8</w:t>
      </w:r>
      <w:r w:rsidR="00555592">
        <w:rPr>
          <w:rFonts w:ascii="仿宋_GB2312" w:eastAsia="仿宋_GB2312" w:hint="eastAsia"/>
          <w:sz w:val="28"/>
          <w:szCs w:val="28"/>
        </w:rPr>
        <w:t>0</w:t>
      </w:r>
      <w:r>
        <w:rPr>
          <w:rFonts w:ascii="仿宋_GB2312" w:eastAsia="仿宋_GB2312" w:hint="eastAsia"/>
          <w:sz w:val="28"/>
          <w:szCs w:val="28"/>
        </w:rPr>
        <w:t>万元，公务用车维修</w:t>
      </w:r>
      <w:r>
        <w:rPr>
          <w:rFonts w:ascii="仿宋_GB2312" w:eastAsia="仿宋_GB2312"/>
          <w:sz w:val="28"/>
          <w:szCs w:val="28"/>
        </w:rPr>
        <w:t>4.75</w:t>
      </w:r>
      <w:r>
        <w:rPr>
          <w:rFonts w:ascii="仿宋_GB2312" w:eastAsia="仿宋_GB2312" w:hint="eastAsia"/>
          <w:sz w:val="28"/>
          <w:szCs w:val="28"/>
        </w:rPr>
        <w:t>万元，公务用车保险</w:t>
      </w:r>
      <w:r>
        <w:rPr>
          <w:rFonts w:ascii="仿宋_GB2312" w:eastAsia="仿宋_GB2312"/>
          <w:sz w:val="28"/>
          <w:szCs w:val="28"/>
        </w:rPr>
        <w:t>4.63</w:t>
      </w:r>
      <w:r>
        <w:rPr>
          <w:rFonts w:ascii="仿宋_GB2312" w:eastAsia="仿宋_GB2312" w:hint="eastAsia"/>
          <w:sz w:val="28"/>
          <w:szCs w:val="28"/>
        </w:rPr>
        <w:t>万元，公务用车其他支出</w:t>
      </w:r>
      <w:r>
        <w:rPr>
          <w:rFonts w:ascii="仿宋_GB2312" w:eastAsia="仿宋_GB2312"/>
          <w:sz w:val="28"/>
          <w:szCs w:val="28"/>
        </w:rPr>
        <w:t>2.02</w:t>
      </w:r>
      <w:r>
        <w:rPr>
          <w:rFonts w:ascii="仿宋_GB2312" w:eastAsia="仿宋_GB2312" w:hint="eastAsia"/>
          <w:sz w:val="28"/>
          <w:szCs w:val="28"/>
        </w:rPr>
        <w:t>万元。2023年度公务用车保有量33辆，车均运行维护费0.4</w:t>
      </w:r>
      <w:r w:rsidR="00677B38">
        <w:rPr>
          <w:rFonts w:ascii="仿宋_GB2312" w:eastAsia="仿宋_GB2312" w:hint="eastAsia"/>
          <w:sz w:val="28"/>
          <w:szCs w:val="28"/>
        </w:rPr>
        <w:t>0</w:t>
      </w:r>
      <w:r>
        <w:rPr>
          <w:rFonts w:ascii="仿宋_GB2312" w:eastAsia="仿宋_GB2312" w:hint="eastAsia"/>
          <w:sz w:val="28"/>
          <w:szCs w:val="28"/>
        </w:rPr>
        <w:t>万元。</w:t>
      </w:r>
    </w:p>
    <w:p w:rsidR="00FB1853" w:rsidRDefault="00A9080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FB1853" w:rsidRDefault="00A9080B" w:rsidP="006E345F">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2023年度使用财政拨款安排的基本支出中的日常公用经费支出，合计268.77万元，比上年增加39.39万元，增加</w:t>
      </w:r>
      <w:r w:rsidR="00BF6860">
        <w:rPr>
          <w:rFonts w:ascii="仿宋_GB2312" w:eastAsia="仿宋_GB2312" w:hint="eastAsia"/>
          <w:sz w:val="28"/>
          <w:szCs w:val="28"/>
        </w:rPr>
        <w:lastRenderedPageBreak/>
        <w:t>原因：</w:t>
      </w:r>
      <w:r>
        <w:rPr>
          <w:rFonts w:ascii="仿宋_GB2312" w:eastAsia="仿宋_GB2312" w:hint="eastAsia"/>
          <w:sz w:val="28"/>
          <w:szCs w:val="28"/>
        </w:rPr>
        <w:t>人员变动。</w:t>
      </w:r>
    </w:p>
    <w:p w:rsidR="00FB1853" w:rsidRDefault="00A9080B">
      <w:pPr>
        <w:ind w:left="540"/>
        <w:rPr>
          <w:rFonts w:ascii="黑体" w:eastAsia="黑体"/>
          <w:sz w:val="28"/>
          <w:szCs w:val="28"/>
        </w:rPr>
      </w:pPr>
      <w:r>
        <w:rPr>
          <w:rFonts w:ascii="黑体" w:eastAsia="黑体" w:hint="eastAsia"/>
          <w:sz w:val="28"/>
          <w:szCs w:val="28"/>
        </w:rPr>
        <w:t>三、政府采购支出情况</w:t>
      </w:r>
    </w:p>
    <w:p w:rsidR="00FB1853" w:rsidRDefault="00A9080B" w:rsidP="006E345F">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3515.02</w:t>
      </w:r>
      <w:r>
        <w:rPr>
          <w:rFonts w:ascii="仿宋_GB2312" w:eastAsia="仿宋_GB2312" w:hint="eastAsia"/>
          <w:sz w:val="28"/>
          <w:szCs w:val="28"/>
        </w:rPr>
        <w:t>万元，其中：政府采购货物支出</w:t>
      </w:r>
      <w:r>
        <w:rPr>
          <w:rFonts w:ascii="仿宋_GB2312" w:eastAsia="仿宋_GB2312"/>
          <w:sz w:val="28"/>
          <w:szCs w:val="28"/>
        </w:rPr>
        <w:t>29.57</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3485.45</w:t>
      </w:r>
      <w:r>
        <w:rPr>
          <w:rFonts w:ascii="仿宋_GB2312" w:eastAsia="仿宋_GB2312" w:hint="eastAsia"/>
          <w:sz w:val="28"/>
          <w:szCs w:val="28"/>
        </w:rPr>
        <w:t>万元。授予中小企业合同金额</w:t>
      </w:r>
      <w:r>
        <w:rPr>
          <w:rFonts w:ascii="仿宋_GB2312" w:eastAsia="仿宋_GB2312"/>
          <w:sz w:val="28"/>
          <w:szCs w:val="28"/>
        </w:rPr>
        <w:t>1407.48</w:t>
      </w:r>
      <w:r>
        <w:rPr>
          <w:rFonts w:ascii="仿宋_GB2312" w:eastAsia="仿宋_GB2312" w:hint="eastAsia"/>
          <w:sz w:val="28"/>
          <w:szCs w:val="28"/>
        </w:rPr>
        <w:t>万元，占政府采购支出总额的</w:t>
      </w:r>
      <w:r>
        <w:rPr>
          <w:rFonts w:ascii="仿宋_GB2312" w:eastAsia="仿宋_GB2312"/>
          <w:sz w:val="28"/>
          <w:szCs w:val="28"/>
        </w:rPr>
        <w:t>40.04</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138.36</w:t>
      </w:r>
      <w:r>
        <w:rPr>
          <w:rFonts w:ascii="仿宋_GB2312" w:eastAsia="仿宋_GB2312" w:hint="eastAsia"/>
          <w:sz w:val="28"/>
          <w:szCs w:val="28"/>
        </w:rPr>
        <w:t>万元，占政府采购支出总额的</w:t>
      </w:r>
      <w:r>
        <w:rPr>
          <w:rFonts w:ascii="仿宋_GB2312" w:eastAsia="仿宋_GB2312"/>
          <w:sz w:val="28"/>
          <w:szCs w:val="28"/>
        </w:rPr>
        <w:t>3.93</w:t>
      </w:r>
      <w:r>
        <w:rPr>
          <w:rFonts w:ascii="仿宋_GB2312" w:eastAsia="仿宋_GB2312" w:hint="eastAsia"/>
          <w:sz w:val="28"/>
          <w:szCs w:val="28"/>
        </w:rPr>
        <w:t>%。</w:t>
      </w:r>
    </w:p>
    <w:p w:rsidR="00FB1853" w:rsidRDefault="00A9080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FB1853" w:rsidRDefault="00A9080B">
      <w:pPr>
        <w:ind w:firstLineChars="200" w:firstLine="560"/>
        <w:rPr>
          <w:rFonts w:ascii="仿宋_GB2312" w:eastAsia="仿宋_GB2312"/>
          <w:sz w:val="28"/>
          <w:szCs w:val="28"/>
        </w:rPr>
      </w:pPr>
      <w:r>
        <w:rPr>
          <w:rFonts w:ascii="仿宋_GB2312" w:eastAsia="仿宋_GB2312" w:hint="eastAsia"/>
          <w:sz w:val="28"/>
          <w:szCs w:val="28"/>
        </w:rPr>
        <w:t>2023年度新购置车辆0台，共计0万元；新购置单位价值100万元（含）以上的设备0台（套），共计0万元。截至12月31日，北京市药品监督管理</w:t>
      </w:r>
      <w:r>
        <w:rPr>
          <w:rFonts w:ascii="仿宋_GB2312" w:eastAsia="仿宋_GB2312" w:hint="eastAsia"/>
          <w:color w:val="000000" w:themeColor="text1"/>
          <w:sz w:val="28"/>
          <w:szCs w:val="28"/>
        </w:rPr>
        <w:t>局</w:t>
      </w:r>
      <w:r w:rsidR="00A63ECE">
        <w:rPr>
          <w:rFonts w:ascii="仿宋_GB2312" w:eastAsia="仿宋_GB2312" w:hint="eastAsia"/>
          <w:color w:val="000000" w:themeColor="text1"/>
          <w:sz w:val="28"/>
          <w:szCs w:val="28"/>
        </w:rPr>
        <w:t>本级</w:t>
      </w:r>
      <w:r>
        <w:rPr>
          <w:rFonts w:ascii="仿宋_GB2312" w:eastAsia="仿宋_GB2312" w:hint="eastAsia"/>
          <w:color w:val="000000" w:themeColor="text1"/>
          <w:sz w:val="28"/>
          <w:szCs w:val="28"/>
        </w:rPr>
        <w:t>共有车辆3</w:t>
      </w:r>
      <w:r>
        <w:rPr>
          <w:rFonts w:ascii="仿宋_GB2312" w:eastAsia="仿宋_GB2312" w:hint="eastAsia"/>
          <w:sz w:val="28"/>
          <w:szCs w:val="28"/>
        </w:rPr>
        <w:t>3台，共计671.56万元；单位价值100万元（含）以上的设备0台（套），共计0万元。</w:t>
      </w:r>
    </w:p>
    <w:p w:rsidR="00FB1853" w:rsidRDefault="00A9080B" w:rsidP="006E345F">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FB1853" w:rsidRDefault="00A9080B" w:rsidP="006E345F">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政府购买服务决算3812.51</w:t>
      </w:r>
      <w:r>
        <w:rPr>
          <w:rFonts w:ascii="仿宋_GB2312" w:eastAsia="仿宋_GB2312" w:hint="eastAsia"/>
          <w:sz w:val="28"/>
          <w:szCs w:val="28"/>
        </w:rPr>
        <w:t>万元。</w:t>
      </w:r>
    </w:p>
    <w:p w:rsidR="00FB1853" w:rsidRDefault="00A9080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FB1853" w:rsidRDefault="00A9080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FB1853" w:rsidRDefault="00A9080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FB1853" w:rsidRDefault="00A9080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FB1853" w:rsidRDefault="00A9080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7.一般公共服务支出（类）市场监督管理事务（款）行政运行（项）：反映行政单位（包括实行公务员管理的事业单位）的基本支出。</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8.一般公共服务支出（类）市场监督管理事务（款）药品事务（项）：反映用于药品（含中药、民族药）监督管理方面的支出。</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9.一般公共服务支出（类）市场监督管理事务（款）医疗器械事务（项）：反映用于医疗器械监督管理方面的支出。</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lastRenderedPageBreak/>
        <w:t>10.一般公共服务支出（类）市场监督管理事务（款）化妆品事务（项）：反映用于化妆品监督管理方面的支出。</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11.一般公共服务支出（类）市场监督管理事务（款）其他市场监督管理事务（项）：反映用于除上述项目以外其他市场监督管理事务方面的支出。</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12.教育支出（类）进修及培训（款）培训支出（项）：反映各部门安排的用于培训的支出。教育部门的师资培训，党校、行政学院等专业干部教育机构的支出，以及退役士兵、转业士官的培训支出，不在本科目反映。</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13.社会保障和就业支出（类）行政事业单位养老支出（款）行政单位离退休（项）：反映行政单位（包括实行公务员管理的事业单位）开支的离退休经费。</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14.社会保障和就业支出（类）行政事业单位养老支出（款）机关事业单位基本养老保险缴费支出（项）：反映机关事业单位实施养老保险制度由单位缴纳的基本养老保险费支出。</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15.社会保障和就业支出（类）行政事业单位养老支出（款）机关事业单位职业年金缴费支出（项）：反映机关事业单位实施养老保险制度由单位实际缴纳的职业年金支出。</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16.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17. 卫生健康支出（类）行政事业单位医疗（款）公务员医疗补助（项）：反映财政部门安排的公务员医疗补助经</w:t>
      </w:r>
      <w:r>
        <w:rPr>
          <w:rFonts w:ascii="仿宋_GB2312" w:eastAsia="仿宋_GB2312" w:hint="eastAsia"/>
          <w:sz w:val="28"/>
          <w:szCs w:val="28"/>
        </w:rPr>
        <w:lastRenderedPageBreak/>
        <w:t>费。</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18.粮油物资储备支出（类）重要商品储备（款）医药储备（项）：反映医药专项储备支出。</w:t>
      </w:r>
    </w:p>
    <w:p w:rsidR="00FB1853" w:rsidRDefault="00A9080B" w:rsidP="00BF6860">
      <w:pPr>
        <w:ind w:firstLineChars="200" w:firstLine="560"/>
        <w:rPr>
          <w:rFonts w:ascii="仿宋_GB2312" w:eastAsia="仿宋_GB2312"/>
          <w:sz w:val="28"/>
          <w:szCs w:val="28"/>
        </w:rPr>
      </w:pPr>
      <w:r>
        <w:rPr>
          <w:rFonts w:ascii="仿宋_GB2312" w:eastAsia="仿宋_GB2312" w:hint="eastAsia"/>
          <w:sz w:val="28"/>
          <w:szCs w:val="28"/>
        </w:rPr>
        <w:t>19.其他支出（类）其他支出（款）其他支出（项）：反映除上述项目以外其他不能划分到具体功能科目中的支出项目。</w:t>
      </w:r>
    </w:p>
    <w:p w:rsidR="00FB1853" w:rsidRDefault="00FB1853">
      <w:pPr>
        <w:ind w:firstLineChars="200" w:firstLine="640"/>
        <w:jc w:val="center"/>
        <w:rPr>
          <w:rFonts w:ascii="黑体" w:eastAsia="黑体"/>
          <w:sz w:val="32"/>
          <w:szCs w:val="32"/>
        </w:rPr>
      </w:pPr>
    </w:p>
    <w:p w:rsidR="00FB1853" w:rsidRDefault="00FB1853">
      <w:pPr>
        <w:ind w:firstLineChars="200" w:firstLine="640"/>
        <w:jc w:val="center"/>
        <w:rPr>
          <w:rFonts w:ascii="黑体" w:eastAsia="黑体"/>
          <w:sz w:val="32"/>
          <w:szCs w:val="32"/>
        </w:rPr>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FB1853">
      <w:pPr>
        <w:pStyle w:val="a0"/>
        <w:ind w:firstLine="420"/>
      </w:pPr>
    </w:p>
    <w:p w:rsidR="00FB1853" w:rsidRDefault="00A9080B">
      <w:pPr>
        <w:ind w:firstLineChars="200" w:firstLine="640"/>
        <w:jc w:val="center"/>
        <w:rPr>
          <w:rFonts w:ascii="黑体" w:eastAsia="黑体"/>
          <w:sz w:val="32"/>
          <w:szCs w:val="32"/>
        </w:rPr>
      </w:pPr>
      <w:r>
        <w:rPr>
          <w:rFonts w:ascii="黑体" w:eastAsia="黑体" w:hint="eastAsia"/>
          <w:sz w:val="32"/>
          <w:szCs w:val="32"/>
        </w:rPr>
        <w:t>第四部分  2023年度绩效评价情况</w:t>
      </w:r>
    </w:p>
    <w:p w:rsidR="00FB1853" w:rsidRDefault="00FB1853">
      <w:pPr>
        <w:pStyle w:val="a0"/>
        <w:ind w:firstLine="420"/>
      </w:pPr>
    </w:p>
    <w:p w:rsidR="00FB1853" w:rsidRDefault="00A9080B">
      <w:pPr>
        <w:ind w:firstLineChars="200" w:firstLine="560"/>
        <w:rPr>
          <w:rFonts w:ascii="黑体" w:eastAsia="黑体"/>
          <w:sz w:val="28"/>
          <w:szCs w:val="28"/>
        </w:rPr>
      </w:pPr>
      <w:r>
        <w:rPr>
          <w:rFonts w:ascii="黑体" w:eastAsia="黑体" w:hint="eastAsia"/>
          <w:sz w:val="28"/>
          <w:szCs w:val="28"/>
        </w:rPr>
        <w:t>一、项目</w:t>
      </w:r>
      <w:r>
        <w:rPr>
          <w:rFonts w:ascii="黑体" w:eastAsia="黑体"/>
          <w:sz w:val="28"/>
          <w:szCs w:val="28"/>
        </w:rPr>
        <w:t>支出绩效自评表</w:t>
      </w:r>
      <w:r>
        <w:rPr>
          <w:rFonts w:ascii="黑体" w:eastAsia="黑体" w:hint="eastAsia"/>
          <w:sz w:val="28"/>
          <w:szCs w:val="28"/>
        </w:rPr>
        <w:t>（详见附件）</w:t>
      </w:r>
    </w:p>
    <w:p w:rsidR="00FB1853" w:rsidRDefault="00FB1853"/>
    <w:p w:rsidR="00FB1853" w:rsidRDefault="00FB1853">
      <w:pPr>
        <w:pStyle w:val="2"/>
      </w:pPr>
    </w:p>
    <w:p w:rsidR="00FB1853" w:rsidRDefault="00FB1853"/>
    <w:sectPr w:rsidR="00FB1853">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7E1" w:rsidRDefault="008777E1">
      <w:r>
        <w:separator/>
      </w:r>
    </w:p>
  </w:endnote>
  <w:endnote w:type="continuationSeparator" w:id="0">
    <w:p w:rsidR="008777E1" w:rsidRDefault="00877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853" w:rsidRDefault="00A9080B">
    <w:pPr>
      <w:pStyle w:val="a7"/>
      <w:framePr w:wrap="around" w:vAnchor="text" w:hAnchor="margin" w:xAlign="center" w:y="1"/>
      <w:rPr>
        <w:rStyle w:val="ab"/>
      </w:rPr>
    </w:pPr>
    <w:r>
      <w:fldChar w:fldCharType="begin"/>
    </w:r>
    <w:r>
      <w:rPr>
        <w:rStyle w:val="ab"/>
      </w:rPr>
      <w:instrText xml:space="preserve">PAGE  </w:instrText>
    </w:r>
    <w:r>
      <w:fldChar w:fldCharType="separate"/>
    </w:r>
    <w:r w:rsidR="000C7D21">
      <w:rPr>
        <w:rStyle w:val="ab"/>
        <w:noProof/>
      </w:rPr>
      <w:t>3</w:t>
    </w:r>
    <w:r>
      <w:fldChar w:fldCharType="end"/>
    </w:r>
  </w:p>
  <w:p w:rsidR="00FB1853" w:rsidRDefault="00FB185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853" w:rsidRDefault="00A9080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FB1853" w:rsidRDefault="00FB185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853" w:rsidRDefault="00A9080B">
    <w:pPr>
      <w:pStyle w:val="a7"/>
      <w:framePr w:wrap="around" w:vAnchor="text" w:hAnchor="margin" w:xAlign="center" w:y="1"/>
      <w:rPr>
        <w:rStyle w:val="ab"/>
      </w:rPr>
    </w:pPr>
    <w:r>
      <w:fldChar w:fldCharType="begin"/>
    </w:r>
    <w:r>
      <w:rPr>
        <w:rStyle w:val="ab"/>
      </w:rPr>
      <w:instrText xml:space="preserve">PAGE  </w:instrText>
    </w:r>
    <w:r>
      <w:fldChar w:fldCharType="separate"/>
    </w:r>
    <w:r w:rsidR="00CF5476">
      <w:rPr>
        <w:rStyle w:val="ab"/>
        <w:noProof/>
      </w:rPr>
      <w:t>12</w:t>
    </w:r>
    <w:r>
      <w:fldChar w:fldCharType="end"/>
    </w:r>
  </w:p>
  <w:p w:rsidR="00FB1853" w:rsidRDefault="00FB18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7E1" w:rsidRDefault="008777E1">
      <w:r>
        <w:separator/>
      </w:r>
    </w:p>
  </w:footnote>
  <w:footnote w:type="continuationSeparator" w:id="0">
    <w:p w:rsidR="008777E1" w:rsidRDefault="008777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5DDD2C8"/>
    <w:rsid w:val="B9DFABD9"/>
    <w:rsid w:val="BC0D83FC"/>
    <w:rsid w:val="BF3BDEFB"/>
    <w:rsid w:val="BFEFC317"/>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8A"/>
    <w:rsid w:val="000601B1"/>
    <w:rsid w:val="00063034"/>
    <w:rsid w:val="00066E19"/>
    <w:rsid w:val="0006752F"/>
    <w:rsid w:val="0007072C"/>
    <w:rsid w:val="00071797"/>
    <w:rsid w:val="00071860"/>
    <w:rsid w:val="0007258E"/>
    <w:rsid w:val="00077A9E"/>
    <w:rsid w:val="00077F4A"/>
    <w:rsid w:val="00077FE5"/>
    <w:rsid w:val="00080447"/>
    <w:rsid w:val="00085663"/>
    <w:rsid w:val="00090291"/>
    <w:rsid w:val="00095948"/>
    <w:rsid w:val="00095C26"/>
    <w:rsid w:val="00096504"/>
    <w:rsid w:val="00096B86"/>
    <w:rsid w:val="000A1770"/>
    <w:rsid w:val="000A283C"/>
    <w:rsid w:val="000A4D0E"/>
    <w:rsid w:val="000B15B7"/>
    <w:rsid w:val="000B2689"/>
    <w:rsid w:val="000B70F1"/>
    <w:rsid w:val="000C4611"/>
    <w:rsid w:val="000C7D21"/>
    <w:rsid w:val="000D1B61"/>
    <w:rsid w:val="000D6854"/>
    <w:rsid w:val="000E0B26"/>
    <w:rsid w:val="000E23F7"/>
    <w:rsid w:val="000E3291"/>
    <w:rsid w:val="000F08FE"/>
    <w:rsid w:val="000F208B"/>
    <w:rsid w:val="000F217D"/>
    <w:rsid w:val="000F2A48"/>
    <w:rsid w:val="000F49BE"/>
    <w:rsid w:val="00100246"/>
    <w:rsid w:val="0010682D"/>
    <w:rsid w:val="001073C6"/>
    <w:rsid w:val="00107DB5"/>
    <w:rsid w:val="00113613"/>
    <w:rsid w:val="0011483D"/>
    <w:rsid w:val="00115724"/>
    <w:rsid w:val="0012682D"/>
    <w:rsid w:val="00130995"/>
    <w:rsid w:val="00131FF9"/>
    <w:rsid w:val="00132320"/>
    <w:rsid w:val="00135B6A"/>
    <w:rsid w:val="001369A7"/>
    <w:rsid w:val="001428C5"/>
    <w:rsid w:val="00145EBE"/>
    <w:rsid w:val="001503D8"/>
    <w:rsid w:val="00157540"/>
    <w:rsid w:val="0017111F"/>
    <w:rsid w:val="00173CF6"/>
    <w:rsid w:val="00180DAD"/>
    <w:rsid w:val="0018370E"/>
    <w:rsid w:val="001852E1"/>
    <w:rsid w:val="00191568"/>
    <w:rsid w:val="001A4277"/>
    <w:rsid w:val="001A64BF"/>
    <w:rsid w:val="001A7D2E"/>
    <w:rsid w:val="001B1DF9"/>
    <w:rsid w:val="001B1E93"/>
    <w:rsid w:val="001B375E"/>
    <w:rsid w:val="001B4A46"/>
    <w:rsid w:val="001B5E87"/>
    <w:rsid w:val="001B5E91"/>
    <w:rsid w:val="001B69BF"/>
    <w:rsid w:val="001B7988"/>
    <w:rsid w:val="001D598D"/>
    <w:rsid w:val="001D78D9"/>
    <w:rsid w:val="001E0556"/>
    <w:rsid w:val="001E2355"/>
    <w:rsid w:val="001E2379"/>
    <w:rsid w:val="001E28F3"/>
    <w:rsid w:val="001E29A9"/>
    <w:rsid w:val="001F1E51"/>
    <w:rsid w:val="001F5857"/>
    <w:rsid w:val="001F6048"/>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3D2"/>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1F8"/>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0931"/>
    <w:rsid w:val="00331A8C"/>
    <w:rsid w:val="00332C14"/>
    <w:rsid w:val="00335079"/>
    <w:rsid w:val="003352CE"/>
    <w:rsid w:val="00341D8E"/>
    <w:rsid w:val="003502B9"/>
    <w:rsid w:val="00351B8F"/>
    <w:rsid w:val="00353226"/>
    <w:rsid w:val="00353717"/>
    <w:rsid w:val="00354630"/>
    <w:rsid w:val="00365A24"/>
    <w:rsid w:val="003712DB"/>
    <w:rsid w:val="00373DDC"/>
    <w:rsid w:val="003770AA"/>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33C8"/>
    <w:rsid w:val="003C55FC"/>
    <w:rsid w:val="003D0EC3"/>
    <w:rsid w:val="003D461C"/>
    <w:rsid w:val="003D7274"/>
    <w:rsid w:val="003E4D82"/>
    <w:rsid w:val="003E5BC1"/>
    <w:rsid w:val="003F053B"/>
    <w:rsid w:val="003F0D1B"/>
    <w:rsid w:val="003F1DD6"/>
    <w:rsid w:val="00401087"/>
    <w:rsid w:val="00402E26"/>
    <w:rsid w:val="00405701"/>
    <w:rsid w:val="004110BC"/>
    <w:rsid w:val="0041271F"/>
    <w:rsid w:val="00413A2A"/>
    <w:rsid w:val="00414D4F"/>
    <w:rsid w:val="0041688E"/>
    <w:rsid w:val="00416AC7"/>
    <w:rsid w:val="004170EF"/>
    <w:rsid w:val="0042093C"/>
    <w:rsid w:val="004233DD"/>
    <w:rsid w:val="00424405"/>
    <w:rsid w:val="00425B25"/>
    <w:rsid w:val="00425D24"/>
    <w:rsid w:val="00426A4D"/>
    <w:rsid w:val="00427687"/>
    <w:rsid w:val="004276E8"/>
    <w:rsid w:val="0042794C"/>
    <w:rsid w:val="00433231"/>
    <w:rsid w:val="004334CA"/>
    <w:rsid w:val="0043506A"/>
    <w:rsid w:val="00435830"/>
    <w:rsid w:val="0043619C"/>
    <w:rsid w:val="004430A1"/>
    <w:rsid w:val="0044475D"/>
    <w:rsid w:val="00444D1E"/>
    <w:rsid w:val="0044571A"/>
    <w:rsid w:val="0044705D"/>
    <w:rsid w:val="0045090E"/>
    <w:rsid w:val="00452E72"/>
    <w:rsid w:val="00453E36"/>
    <w:rsid w:val="00457286"/>
    <w:rsid w:val="00461FA5"/>
    <w:rsid w:val="00463566"/>
    <w:rsid w:val="00464182"/>
    <w:rsid w:val="00471754"/>
    <w:rsid w:val="00471C52"/>
    <w:rsid w:val="0047460C"/>
    <w:rsid w:val="00474FF2"/>
    <w:rsid w:val="00480098"/>
    <w:rsid w:val="00484A93"/>
    <w:rsid w:val="00485E12"/>
    <w:rsid w:val="004865DA"/>
    <w:rsid w:val="00486CDD"/>
    <w:rsid w:val="0048779C"/>
    <w:rsid w:val="00487AB7"/>
    <w:rsid w:val="00487ED0"/>
    <w:rsid w:val="00491D09"/>
    <w:rsid w:val="00494CFF"/>
    <w:rsid w:val="0049682C"/>
    <w:rsid w:val="004A168E"/>
    <w:rsid w:val="004A4E41"/>
    <w:rsid w:val="004A4EC7"/>
    <w:rsid w:val="004B0003"/>
    <w:rsid w:val="004C020A"/>
    <w:rsid w:val="004C03A3"/>
    <w:rsid w:val="004C44B8"/>
    <w:rsid w:val="004C7629"/>
    <w:rsid w:val="004D0D5D"/>
    <w:rsid w:val="004D2A54"/>
    <w:rsid w:val="004E27DD"/>
    <w:rsid w:val="004E3350"/>
    <w:rsid w:val="004E5292"/>
    <w:rsid w:val="004F2C5B"/>
    <w:rsid w:val="004F641B"/>
    <w:rsid w:val="004F71F3"/>
    <w:rsid w:val="005052FA"/>
    <w:rsid w:val="005069E1"/>
    <w:rsid w:val="00507E59"/>
    <w:rsid w:val="005122B5"/>
    <w:rsid w:val="0052381C"/>
    <w:rsid w:val="005310CF"/>
    <w:rsid w:val="005346B3"/>
    <w:rsid w:val="0054051C"/>
    <w:rsid w:val="00544569"/>
    <w:rsid w:val="005465F4"/>
    <w:rsid w:val="00546A84"/>
    <w:rsid w:val="00547BE2"/>
    <w:rsid w:val="0055353D"/>
    <w:rsid w:val="00555592"/>
    <w:rsid w:val="00555CAF"/>
    <w:rsid w:val="0056187C"/>
    <w:rsid w:val="00566E35"/>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4CAC"/>
    <w:rsid w:val="005C7062"/>
    <w:rsid w:val="005C7788"/>
    <w:rsid w:val="005D10B9"/>
    <w:rsid w:val="005D18DA"/>
    <w:rsid w:val="005E00DC"/>
    <w:rsid w:val="005E3BBC"/>
    <w:rsid w:val="005E3EC6"/>
    <w:rsid w:val="005E4E07"/>
    <w:rsid w:val="005E4E46"/>
    <w:rsid w:val="005E5275"/>
    <w:rsid w:val="005E7DC8"/>
    <w:rsid w:val="005E7EC9"/>
    <w:rsid w:val="005F7087"/>
    <w:rsid w:val="00603AFD"/>
    <w:rsid w:val="00604F3B"/>
    <w:rsid w:val="006061E4"/>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77B38"/>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3E03"/>
    <w:rsid w:val="006C4534"/>
    <w:rsid w:val="006C5205"/>
    <w:rsid w:val="006C75F6"/>
    <w:rsid w:val="006D3F53"/>
    <w:rsid w:val="006D60AF"/>
    <w:rsid w:val="006E345F"/>
    <w:rsid w:val="006E4722"/>
    <w:rsid w:val="006E764F"/>
    <w:rsid w:val="00701651"/>
    <w:rsid w:val="007049BF"/>
    <w:rsid w:val="00704E79"/>
    <w:rsid w:val="00707A26"/>
    <w:rsid w:val="0071120F"/>
    <w:rsid w:val="00716380"/>
    <w:rsid w:val="00722165"/>
    <w:rsid w:val="007222C2"/>
    <w:rsid w:val="00724B1C"/>
    <w:rsid w:val="007428F0"/>
    <w:rsid w:val="007512EF"/>
    <w:rsid w:val="007551AC"/>
    <w:rsid w:val="0076101C"/>
    <w:rsid w:val="00763D87"/>
    <w:rsid w:val="007670B2"/>
    <w:rsid w:val="00771795"/>
    <w:rsid w:val="00774925"/>
    <w:rsid w:val="00787C7B"/>
    <w:rsid w:val="0079279F"/>
    <w:rsid w:val="007933A7"/>
    <w:rsid w:val="00793E69"/>
    <w:rsid w:val="007A063C"/>
    <w:rsid w:val="007A16B0"/>
    <w:rsid w:val="007A19EA"/>
    <w:rsid w:val="007A4A4B"/>
    <w:rsid w:val="007A6092"/>
    <w:rsid w:val="007A60B7"/>
    <w:rsid w:val="007A64A6"/>
    <w:rsid w:val="007A6EE1"/>
    <w:rsid w:val="007A7C89"/>
    <w:rsid w:val="007B1487"/>
    <w:rsid w:val="007B2A43"/>
    <w:rsid w:val="007B326F"/>
    <w:rsid w:val="007B6A58"/>
    <w:rsid w:val="007B6C06"/>
    <w:rsid w:val="007B7B78"/>
    <w:rsid w:val="007C1008"/>
    <w:rsid w:val="007C32B1"/>
    <w:rsid w:val="007C4AEF"/>
    <w:rsid w:val="007C7A22"/>
    <w:rsid w:val="007C7C62"/>
    <w:rsid w:val="007D1076"/>
    <w:rsid w:val="007D12B7"/>
    <w:rsid w:val="007D2A49"/>
    <w:rsid w:val="007D5E38"/>
    <w:rsid w:val="007D7AC4"/>
    <w:rsid w:val="007E0340"/>
    <w:rsid w:val="007E1D4A"/>
    <w:rsid w:val="007E53C0"/>
    <w:rsid w:val="007E7703"/>
    <w:rsid w:val="007F13DB"/>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7E1"/>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D6B2D"/>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5DCB"/>
    <w:rsid w:val="00916514"/>
    <w:rsid w:val="00927892"/>
    <w:rsid w:val="009319B9"/>
    <w:rsid w:val="0093343D"/>
    <w:rsid w:val="009351E9"/>
    <w:rsid w:val="00937862"/>
    <w:rsid w:val="00942279"/>
    <w:rsid w:val="00946026"/>
    <w:rsid w:val="009524EB"/>
    <w:rsid w:val="00962013"/>
    <w:rsid w:val="00963942"/>
    <w:rsid w:val="00966ABF"/>
    <w:rsid w:val="00966E16"/>
    <w:rsid w:val="0096716C"/>
    <w:rsid w:val="009672B2"/>
    <w:rsid w:val="00971C66"/>
    <w:rsid w:val="00972363"/>
    <w:rsid w:val="009823DE"/>
    <w:rsid w:val="0098419C"/>
    <w:rsid w:val="009843EF"/>
    <w:rsid w:val="009867F2"/>
    <w:rsid w:val="00991347"/>
    <w:rsid w:val="009937A5"/>
    <w:rsid w:val="00996018"/>
    <w:rsid w:val="0099738E"/>
    <w:rsid w:val="009A493E"/>
    <w:rsid w:val="009A531F"/>
    <w:rsid w:val="009A6931"/>
    <w:rsid w:val="009B1F9A"/>
    <w:rsid w:val="009B1FA9"/>
    <w:rsid w:val="009B349F"/>
    <w:rsid w:val="009B4293"/>
    <w:rsid w:val="009B6715"/>
    <w:rsid w:val="009C3C49"/>
    <w:rsid w:val="009C63AB"/>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1A99"/>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3ECE"/>
    <w:rsid w:val="00A6655C"/>
    <w:rsid w:val="00A66CBB"/>
    <w:rsid w:val="00A6704E"/>
    <w:rsid w:val="00A67EA4"/>
    <w:rsid w:val="00A773FF"/>
    <w:rsid w:val="00A83AA1"/>
    <w:rsid w:val="00A9080B"/>
    <w:rsid w:val="00A9343A"/>
    <w:rsid w:val="00A935E9"/>
    <w:rsid w:val="00A9706C"/>
    <w:rsid w:val="00A97B34"/>
    <w:rsid w:val="00AA1B5C"/>
    <w:rsid w:val="00AA7A27"/>
    <w:rsid w:val="00AB3FB0"/>
    <w:rsid w:val="00AB465D"/>
    <w:rsid w:val="00AB713D"/>
    <w:rsid w:val="00AC114C"/>
    <w:rsid w:val="00AC1478"/>
    <w:rsid w:val="00AC32FB"/>
    <w:rsid w:val="00AC6C2D"/>
    <w:rsid w:val="00AC6E17"/>
    <w:rsid w:val="00AD0870"/>
    <w:rsid w:val="00AD2FF3"/>
    <w:rsid w:val="00AD7764"/>
    <w:rsid w:val="00AD7FE2"/>
    <w:rsid w:val="00AE1284"/>
    <w:rsid w:val="00AE1B18"/>
    <w:rsid w:val="00AE7339"/>
    <w:rsid w:val="00AF1B0B"/>
    <w:rsid w:val="00AF242C"/>
    <w:rsid w:val="00AF3CC4"/>
    <w:rsid w:val="00B05903"/>
    <w:rsid w:val="00B0747B"/>
    <w:rsid w:val="00B12C7A"/>
    <w:rsid w:val="00B12E10"/>
    <w:rsid w:val="00B22BC3"/>
    <w:rsid w:val="00B25865"/>
    <w:rsid w:val="00B272B6"/>
    <w:rsid w:val="00B2771B"/>
    <w:rsid w:val="00B32EB7"/>
    <w:rsid w:val="00B336E9"/>
    <w:rsid w:val="00B33AE5"/>
    <w:rsid w:val="00B35BE5"/>
    <w:rsid w:val="00B45329"/>
    <w:rsid w:val="00B46965"/>
    <w:rsid w:val="00B54ED0"/>
    <w:rsid w:val="00B55D47"/>
    <w:rsid w:val="00B6204E"/>
    <w:rsid w:val="00B649EC"/>
    <w:rsid w:val="00B728DD"/>
    <w:rsid w:val="00B72D43"/>
    <w:rsid w:val="00B74121"/>
    <w:rsid w:val="00B80ABA"/>
    <w:rsid w:val="00B8157F"/>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180E"/>
    <w:rsid w:val="00BE34CA"/>
    <w:rsid w:val="00BF116A"/>
    <w:rsid w:val="00BF6860"/>
    <w:rsid w:val="00C0623C"/>
    <w:rsid w:val="00C06A07"/>
    <w:rsid w:val="00C132B6"/>
    <w:rsid w:val="00C2160C"/>
    <w:rsid w:val="00C21A6C"/>
    <w:rsid w:val="00C24A10"/>
    <w:rsid w:val="00C27003"/>
    <w:rsid w:val="00C27597"/>
    <w:rsid w:val="00C30E37"/>
    <w:rsid w:val="00C32BD4"/>
    <w:rsid w:val="00C33E48"/>
    <w:rsid w:val="00C3618B"/>
    <w:rsid w:val="00C367D0"/>
    <w:rsid w:val="00C403FB"/>
    <w:rsid w:val="00C4316E"/>
    <w:rsid w:val="00C441A2"/>
    <w:rsid w:val="00C5076B"/>
    <w:rsid w:val="00C512D4"/>
    <w:rsid w:val="00C51CF4"/>
    <w:rsid w:val="00C531E2"/>
    <w:rsid w:val="00C53204"/>
    <w:rsid w:val="00C57E34"/>
    <w:rsid w:val="00C60D89"/>
    <w:rsid w:val="00C639E9"/>
    <w:rsid w:val="00C64659"/>
    <w:rsid w:val="00C662E9"/>
    <w:rsid w:val="00C66C2D"/>
    <w:rsid w:val="00C70E34"/>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2A4A"/>
    <w:rsid w:val="00CF366B"/>
    <w:rsid w:val="00CF5476"/>
    <w:rsid w:val="00CF5D9D"/>
    <w:rsid w:val="00CF606C"/>
    <w:rsid w:val="00CF7423"/>
    <w:rsid w:val="00D001F5"/>
    <w:rsid w:val="00D03E80"/>
    <w:rsid w:val="00D054B9"/>
    <w:rsid w:val="00D1505F"/>
    <w:rsid w:val="00D15B9F"/>
    <w:rsid w:val="00D15DD6"/>
    <w:rsid w:val="00D25548"/>
    <w:rsid w:val="00D2601F"/>
    <w:rsid w:val="00D27759"/>
    <w:rsid w:val="00D30028"/>
    <w:rsid w:val="00D325D3"/>
    <w:rsid w:val="00D408D6"/>
    <w:rsid w:val="00D42BD3"/>
    <w:rsid w:val="00D511DD"/>
    <w:rsid w:val="00D55C2A"/>
    <w:rsid w:val="00D571C1"/>
    <w:rsid w:val="00D602F4"/>
    <w:rsid w:val="00D643E6"/>
    <w:rsid w:val="00D6457E"/>
    <w:rsid w:val="00D742E2"/>
    <w:rsid w:val="00D7580E"/>
    <w:rsid w:val="00D87DAF"/>
    <w:rsid w:val="00D9446D"/>
    <w:rsid w:val="00DA1E9E"/>
    <w:rsid w:val="00DA2149"/>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A72"/>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6649C"/>
    <w:rsid w:val="00E75CAD"/>
    <w:rsid w:val="00E76922"/>
    <w:rsid w:val="00E8595B"/>
    <w:rsid w:val="00E915EC"/>
    <w:rsid w:val="00E9530A"/>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060C7"/>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5615"/>
    <w:rsid w:val="00F47F64"/>
    <w:rsid w:val="00F522D9"/>
    <w:rsid w:val="00F52F54"/>
    <w:rsid w:val="00F53584"/>
    <w:rsid w:val="00F61B24"/>
    <w:rsid w:val="00F62DE5"/>
    <w:rsid w:val="00F63F8A"/>
    <w:rsid w:val="00F64092"/>
    <w:rsid w:val="00F6514E"/>
    <w:rsid w:val="00F66D67"/>
    <w:rsid w:val="00F703DC"/>
    <w:rsid w:val="00F71D06"/>
    <w:rsid w:val="00F73B46"/>
    <w:rsid w:val="00F73D01"/>
    <w:rsid w:val="00F7642B"/>
    <w:rsid w:val="00F76A43"/>
    <w:rsid w:val="00F80334"/>
    <w:rsid w:val="00F812AC"/>
    <w:rsid w:val="00F8139D"/>
    <w:rsid w:val="00F83DF9"/>
    <w:rsid w:val="00F85DA0"/>
    <w:rsid w:val="00F930AF"/>
    <w:rsid w:val="00F9352C"/>
    <w:rsid w:val="00F975B0"/>
    <w:rsid w:val="00FA15F1"/>
    <w:rsid w:val="00FA19F5"/>
    <w:rsid w:val="00FA4A69"/>
    <w:rsid w:val="00FA649A"/>
    <w:rsid w:val="00FB1248"/>
    <w:rsid w:val="00FB1853"/>
    <w:rsid w:val="00FB208D"/>
    <w:rsid w:val="00FB3CF4"/>
    <w:rsid w:val="00FB4A27"/>
    <w:rsid w:val="00FB4A49"/>
    <w:rsid w:val="00FB69B3"/>
    <w:rsid w:val="00FC26A9"/>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1FFFB70D"/>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5EFDC852"/>
    <w:rsid w:val="64C0607C"/>
    <w:rsid w:val="676F09E1"/>
    <w:rsid w:val="7A7F1C49"/>
    <w:rsid w:val="7B5B7AE6"/>
    <w:rsid w:val="7BA7071E"/>
    <w:rsid w:val="7BDF6DA8"/>
    <w:rsid w:val="7C7EDC1A"/>
    <w:rsid w:val="7CCED98D"/>
    <w:rsid w:val="7D08410F"/>
    <w:rsid w:val="7DB96DED"/>
    <w:rsid w:val="7DD3AD81"/>
    <w:rsid w:val="7DE78C43"/>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sz="1600">
                <a:latin typeface="仿宋_GB2312" panose="02010609030101010101" pitchFamily="3" charset="-122"/>
                <a:ea typeface="仿宋_GB2312" panose="02010609030101010101" pitchFamily="3" charset="-122"/>
              </a:rPr>
              <a:t>收入决算</a:t>
            </a:r>
          </a:p>
        </c:rich>
      </c:tx>
      <c:overlay val="0"/>
      <c:spPr>
        <a:noFill/>
        <a:ln>
          <a:noFill/>
        </a:ln>
        <a:effectLst/>
      </c:spPr>
    </c:title>
    <c:autoTitleDeleted val="0"/>
    <c:plotArea>
      <c:layout/>
      <c:pieChart>
        <c:varyColors val="1"/>
        <c:ser>
          <c:idx val="0"/>
          <c:order val="0"/>
          <c:tx>
            <c:strRef>
              <c:f>Sheet1!$B$1</c:f>
              <c:strCache>
                <c:ptCount val="1"/>
                <c:pt idx="0">
                  <c:v>收入</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18909.23</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sz="1600" b="1">
                <a:solidFill>
                  <a:schemeClr val="tx1"/>
                </a:solidFill>
                <a:latin typeface="仿宋_GB2312" panose="02010609030101010101" pitchFamily="3" charset="-122"/>
                <a:ea typeface="仿宋_GB2312" panose="02010609030101010101" pitchFamily="3" charset="-122"/>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tx>
                <c:rich>
                  <a:bodyPr/>
                  <a:lstStyle/>
                  <a:p>
                    <a:r>
                      <a:rPr lang="en-US" altLang="zh-CN">
                        <a:solidFill>
                          <a:schemeClr val="tx1">
                            <a:lumMod val="75000"/>
                            <a:lumOff val="25000"/>
                          </a:schemeClr>
                        </a:solidFill>
                      </a:rPr>
                      <a:t>18.28%</a:t>
                    </a:r>
                    <a:endParaRPr lang="en-US" altLang="zh-CN"/>
                  </a:p>
                </c:rich>
              </c:tx>
              <c:dLblPos val="bestFit"/>
              <c:showLegendKey val="0"/>
              <c:showVal val="0"/>
              <c:showCatName val="0"/>
              <c:showSerName val="0"/>
              <c:showPercent val="1"/>
              <c:showBubbleSize val="0"/>
              <c:extLst>
                <c:ext xmlns:c15="http://schemas.microsoft.com/office/drawing/2012/chart" uri="{CE6537A1-D6FC-4f65-9D91-7224C49458BB}"/>
              </c:extLst>
            </c:dLbl>
            <c:dLbl>
              <c:idx val="1"/>
              <c:tx>
                <c:rich>
                  <a:bodyPr/>
                  <a:lstStyle/>
                  <a:p>
                    <a:r>
                      <a:rPr lang="en-US" altLang="zh-CN">
                        <a:solidFill>
                          <a:schemeClr val="tx1">
                            <a:lumMod val="75000"/>
                            <a:lumOff val="25000"/>
                          </a:schemeClr>
                        </a:solidFill>
                      </a:rPr>
                      <a:t>81.72%</a:t>
                    </a:r>
                    <a:endParaRPr lang="en-US" altLang="zh-CN"/>
                  </a:p>
                </c:rich>
              </c:tx>
              <c:dLblPos val="bestFit"/>
              <c:showLegendKey val="0"/>
              <c:showVal val="0"/>
              <c:showCatName val="0"/>
              <c:showSerName val="0"/>
              <c:showPercent val="1"/>
              <c:showBubbleSize val="0"/>
              <c:extLst>
                <c:ext xmlns:c15="http://schemas.microsoft.com/office/drawing/2012/chart" uri="{CE6537A1-D6FC-4f65-9D91-7224C49458BB}"/>
              </c:extLst>
            </c:dLbl>
            <c:dLbl>
              <c:idx val="2"/>
              <c:delete val="1"/>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4144</c:v>
                </c:pt>
                <c:pt idx="1">
                  <c:v>18523.54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B6213E-C8A3-4135-8DAE-DF20419A5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17</Pages>
  <Words>940</Words>
  <Characters>5359</Characters>
  <Application>Microsoft Office Word</Application>
  <DocSecurity>0</DocSecurity>
  <Lines>44</Lines>
  <Paragraphs>12</Paragraphs>
  <ScaleCrop>false</ScaleCrop>
  <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129</cp:revision>
  <cp:lastPrinted>2020-08-07T19:39:00Z</cp:lastPrinted>
  <dcterms:created xsi:type="dcterms:W3CDTF">2017-07-11T23:16:00Z</dcterms:created>
  <dcterms:modified xsi:type="dcterms:W3CDTF">2024-09-03T03:10:00Z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C53E0049DD7D4F56A956C4A3BA3D12CC_13</vt:lpwstr>
  </property>
</Properties>
</file>