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A6" w:rsidRDefault="002611A6" w:rsidP="002611A6">
      <w:pPr>
        <w:ind w:firstLineChars="200" w:firstLine="560"/>
        <w:jc w:val="left"/>
        <w:rPr>
          <w:sz w:val="28"/>
          <w:szCs w:val="28"/>
        </w:rPr>
      </w:pPr>
    </w:p>
    <w:p w:rsidR="002611A6" w:rsidRDefault="002611A6" w:rsidP="002611A6">
      <w:pPr>
        <w:ind w:firstLineChars="200" w:firstLine="560"/>
        <w:jc w:val="left"/>
        <w:rPr>
          <w:sz w:val="28"/>
          <w:szCs w:val="28"/>
        </w:rPr>
      </w:pPr>
    </w:p>
    <w:p w:rsidR="002611A6" w:rsidRDefault="002611A6" w:rsidP="002611A6">
      <w:pPr>
        <w:ind w:firstLineChars="200" w:firstLine="560"/>
        <w:jc w:val="left"/>
        <w:rPr>
          <w:sz w:val="28"/>
          <w:szCs w:val="28"/>
        </w:rPr>
      </w:pPr>
    </w:p>
    <w:p w:rsidR="002611A6" w:rsidRDefault="002611A6" w:rsidP="00E52429">
      <w:pPr>
        <w:spacing w:beforeLines="50" w:afterLines="50"/>
        <w:jc w:val="center"/>
        <w:rPr>
          <w:sz w:val="44"/>
          <w:szCs w:val="44"/>
        </w:rPr>
      </w:pPr>
      <w:r>
        <w:rPr>
          <w:rFonts w:hint="eastAsia"/>
          <w:sz w:val="44"/>
          <w:szCs w:val="44"/>
        </w:rPr>
        <w:t>境内第二类医疗器械注册</w:t>
      </w:r>
    </w:p>
    <w:p w:rsidR="002611A6" w:rsidRDefault="002611A6" w:rsidP="00E52429">
      <w:pPr>
        <w:spacing w:beforeLines="50" w:afterLines="50"/>
        <w:jc w:val="center"/>
        <w:rPr>
          <w:rFonts w:ascii="方正小标宋简体" w:eastAsia="方正小标宋简体"/>
          <w:sz w:val="44"/>
          <w:szCs w:val="44"/>
        </w:rPr>
      </w:pPr>
      <w:r>
        <w:rPr>
          <w:rFonts w:ascii="方正小标宋简体" w:eastAsia="方正小标宋简体" w:cs="宋体" w:hint="eastAsia"/>
          <w:sz w:val="44"/>
          <w:szCs w:val="44"/>
        </w:rPr>
        <w:t>技术审评报告</w:t>
      </w:r>
    </w:p>
    <w:p w:rsidR="002611A6" w:rsidRDefault="002611A6" w:rsidP="002611A6">
      <w:pPr>
        <w:ind w:firstLineChars="200" w:firstLine="560"/>
        <w:jc w:val="left"/>
        <w:rPr>
          <w:sz w:val="28"/>
          <w:szCs w:val="28"/>
        </w:rPr>
      </w:pPr>
    </w:p>
    <w:p w:rsidR="002611A6" w:rsidRDefault="002611A6" w:rsidP="002611A6">
      <w:pPr>
        <w:ind w:firstLineChars="200" w:firstLine="560"/>
        <w:jc w:val="left"/>
        <w:rPr>
          <w:sz w:val="28"/>
          <w:szCs w:val="28"/>
        </w:rPr>
      </w:pPr>
    </w:p>
    <w:p w:rsidR="002611A6" w:rsidRDefault="002611A6" w:rsidP="002611A6">
      <w:pPr>
        <w:ind w:firstLineChars="200" w:firstLine="560"/>
        <w:jc w:val="left"/>
        <w:rPr>
          <w:sz w:val="28"/>
          <w:szCs w:val="28"/>
        </w:rPr>
      </w:pPr>
    </w:p>
    <w:p w:rsidR="002611A6" w:rsidRDefault="002611A6" w:rsidP="002611A6">
      <w:pPr>
        <w:ind w:firstLineChars="200" w:firstLine="560"/>
        <w:jc w:val="left"/>
        <w:rPr>
          <w:sz w:val="28"/>
          <w:szCs w:val="28"/>
        </w:rPr>
      </w:pPr>
    </w:p>
    <w:p w:rsidR="002611A6" w:rsidRDefault="002611A6" w:rsidP="002611A6">
      <w:pPr>
        <w:ind w:firstLineChars="200" w:firstLine="560"/>
        <w:jc w:val="left"/>
        <w:rPr>
          <w:sz w:val="28"/>
          <w:szCs w:val="28"/>
        </w:rPr>
      </w:pPr>
    </w:p>
    <w:p w:rsidR="002611A6" w:rsidRPr="0045128A" w:rsidRDefault="002611A6" w:rsidP="002611A6">
      <w:pPr>
        <w:ind w:firstLineChars="420" w:firstLine="1176"/>
        <w:jc w:val="left"/>
        <w:rPr>
          <w:rFonts w:cs="宋体"/>
          <w:sz w:val="28"/>
          <w:szCs w:val="28"/>
        </w:rPr>
      </w:pPr>
      <w:r w:rsidRPr="0045128A">
        <w:rPr>
          <w:rFonts w:cs="宋体" w:hint="eastAsia"/>
          <w:sz w:val="28"/>
          <w:szCs w:val="28"/>
        </w:rPr>
        <w:t>产品名称：</w:t>
      </w:r>
      <w:r w:rsidR="0045128A" w:rsidRPr="0045128A">
        <w:rPr>
          <w:rFonts w:cs="宋体" w:hint="eastAsia"/>
          <w:sz w:val="28"/>
          <w:szCs w:val="28"/>
        </w:rPr>
        <w:t>无创脑血氧监护仪</w:t>
      </w:r>
    </w:p>
    <w:p w:rsidR="00E35ADE" w:rsidRPr="0045128A" w:rsidRDefault="00E35ADE" w:rsidP="002611A6">
      <w:pPr>
        <w:ind w:firstLineChars="420" w:firstLine="1176"/>
        <w:jc w:val="left"/>
        <w:rPr>
          <w:sz w:val="28"/>
          <w:szCs w:val="28"/>
        </w:rPr>
      </w:pPr>
    </w:p>
    <w:p w:rsidR="00E35ADE" w:rsidRPr="0045128A" w:rsidRDefault="002611A6" w:rsidP="002611A6">
      <w:pPr>
        <w:ind w:firstLineChars="420" w:firstLine="1176"/>
        <w:jc w:val="left"/>
        <w:rPr>
          <w:sz w:val="28"/>
          <w:szCs w:val="28"/>
        </w:rPr>
      </w:pPr>
      <w:r w:rsidRPr="0045128A">
        <w:rPr>
          <w:rFonts w:cs="宋体" w:hint="eastAsia"/>
          <w:sz w:val="28"/>
          <w:szCs w:val="28"/>
        </w:rPr>
        <w:t>规格型号：</w:t>
      </w:r>
      <w:r w:rsidR="0045128A" w:rsidRPr="0045128A">
        <w:rPr>
          <w:rFonts w:cs="宋体"/>
          <w:sz w:val="28"/>
          <w:szCs w:val="28"/>
        </w:rPr>
        <w:t>BRS-1</w:t>
      </w:r>
    </w:p>
    <w:p w:rsidR="002611A6" w:rsidRPr="0045128A" w:rsidRDefault="002611A6" w:rsidP="002611A6">
      <w:pPr>
        <w:ind w:firstLineChars="420" w:firstLine="1176"/>
        <w:jc w:val="left"/>
        <w:rPr>
          <w:rFonts w:cs="宋体"/>
          <w:sz w:val="28"/>
          <w:szCs w:val="28"/>
        </w:rPr>
      </w:pPr>
      <w:r w:rsidRPr="0045128A">
        <w:rPr>
          <w:rFonts w:cs="宋体" w:hint="eastAsia"/>
          <w:sz w:val="28"/>
          <w:szCs w:val="28"/>
        </w:rPr>
        <w:t>申请人：</w:t>
      </w:r>
      <w:r w:rsidR="0045128A" w:rsidRPr="0045128A">
        <w:rPr>
          <w:rFonts w:cs="宋体" w:hint="eastAsia"/>
          <w:sz w:val="28"/>
          <w:szCs w:val="28"/>
        </w:rPr>
        <w:t>中科搏康（北京）医疗器械有限公司</w:t>
      </w:r>
    </w:p>
    <w:p w:rsidR="002611A6" w:rsidRDefault="002611A6" w:rsidP="002611A6">
      <w:pPr>
        <w:jc w:val="left"/>
        <w:rPr>
          <w:sz w:val="28"/>
          <w:szCs w:val="28"/>
        </w:rPr>
      </w:pPr>
    </w:p>
    <w:p w:rsidR="005B4940" w:rsidRDefault="005B4940" w:rsidP="00E35ADE">
      <w:pPr>
        <w:tabs>
          <w:tab w:val="left" w:pos="7335"/>
        </w:tabs>
        <w:jc w:val="center"/>
        <w:rPr>
          <w:sz w:val="28"/>
          <w:szCs w:val="28"/>
        </w:rPr>
      </w:pPr>
    </w:p>
    <w:p w:rsidR="002611A6" w:rsidRDefault="00E35ADE" w:rsidP="00E35ADE">
      <w:pPr>
        <w:tabs>
          <w:tab w:val="left" w:pos="7335"/>
        </w:tabs>
        <w:jc w:val="center"/>
        <w:rPr>
          <w:rFonts w:cs="宋体"/>
          <w:sz w:val="28"/>
          <w:szCs w:val="28"/>
        </w:rPr>
      </w:pPr>
      <w:r>
        <w:rPr>
          <w:rFonts w:hint="eastAsia"/>
          <w:sz w:val="28"/>
          <w:szCs w:val="28"/>
        </w:rPr>
        <w:t>北京市医疗器械技术审评中心</w:t>
      </w:r>
    </w:p>
    <w:p w:rsidR="00DE7E58" w:rsidRDefault="002611A6" w:rsidP="002611A6">
      <w:pPr>
        <w:tabs>
          <w:tab w:val="left" w:pos="7335"/>
        </w:tabs>
        <w:jc w:val="left"/>
        <w:rPr>
          <w:rFonts w:ascii="宋体" w:hAnsi="宋体"/>
          <w:b/>
          <w:bCs/>
          <w:sz w:val="24"/>
        </w:rPr>
      </w:pPr>
      <w:r>
        <w:rPr>
          <w:rFonts w:cs="宋体"/>
          <w:sz w:val="28"/>
          <w:szCs w:val="28"/>
        </w:rPr>
        <w:br w:type="page"/>
      </w:r>
      <w:r w:rsidR="00DE7E58">
        <w:rPr>
          <w:rFonts w:ascii="宋体" w:hAnsi="宋体" w:hint="eastAsia"/>
          <w:sz w:val="24"/>
        </w:rPr>
        <w:lastRenderedPageBreak/>
        <w:t>受理号</w:t>
      </w:r>
      <w:r w:rsidR="00DE7E58" w:rsidRPr="00E35ADE">
        <w:rPr>
          <w:rFonts w:ascii="宋体" w:hAnsi="宋体" w:hint="eastAsia"/>
          <w:sz w:val="24"/>
        </w:rPr>
        <w:t>：(京)[201</w:t>
      </w:r>
      <w:r w:rsidR="0045128A">
        <w:rPr>
          <w:rFonts w:ascii="宋体" w:hAnsi="宋体" w:hint="eastAsia"/>
          <w:sz w:val="24"/>
        </w:rPr>
        <w:t>9</w:t>
      </w:r>
      <w:r w:rsidR="00DE7E58" w:rsidRPr="00E35ADE">
        <w:rPr>
          <w:rFonts w:ascii="宋体" w:hAnsi="宋体"/>
          <w:sz w:val="24"/>
        </w:rPr>
        <w:t>]</w:t>
      </w:r>
      <w:r w:rsidR="00DE7E58" w:rsidRPr="00E35ADE">
        <w:rPr>
          <w:rFonts w:ascii="宋体" w:hAnsi="宋体" w:hint="eastAsia"/>
          <w:sz w:val="24"/>
        </w:rPr>
        <w:t>38-8-</w:t>
      </w:r>
      <w:r w:rsidR="0045128A">
        <w:rPr>
          <w:rFonts w:ascii="宋体" w:hAnsi="宋体" w:hint="eastAsia"/>
          <w:b/>
          <w:bCs/>
          <w:sz w:val="24"/>
        </w:rPr>
        <w:t>01</w:t>
      </w:r>
      <w:r w:rsidR="00DE7E58" w:rsidRPr="00E35ADE">
        <w:rPr>
          <w:rFonts w:ascii="宋体" w:hAnsi="宋体" w:hint="eastAsia"/>
          <w:b/>
          <w:bCs/>
          <w:sz w:val="24"/>
        </w:rPr>
        <w:t>-</w:t>
      </w:r>
      <w:r w:rsidR="0045128A">
        <w:rPr>
          <w:rFonts w:ascii="宋体" w:hAnsi="宋体" w:hint="eastAsia"/>
          <w:b/>
          <w:bCs/>
          <w:sz w:val="24"/>
        </w:rPr>
        <w:t>142</w:t>
      </w:r>
    </w:p>
    <w:tbl>
      <w:tblPr>
        <w:tblW w:w="5992" w:type="pct"/>
        <w:jc w:val="center"/>
        <w:tblInd w:w="-25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shd w:val="clear" w:color="auto" w:fill="FFFFFF"/>
        <w:tblLayout w:type="fixed"/>
        <w:tblLook w:val="0000"/>
      </w:tblPr>
      <w:tblGrid>
        <w:gridCol w:w="1512"/>
        <w:gridCol w:w="3013"/>
        <w:gridCol w:w="117"/>
        <w:gridCol w:w="2001"/>
        <w:gridCol w:w="3571"/>
        <w:gridCol w:w="6"/>
      </w:tblGrid>
      <w:tr w:rsidR="001E2F52" w:rsidRPr="00E35ADE" w:rsidTr="001E2F52">
        <w:trPr>
          <w:cantSplit/>
          <w:trHeight w:val="727"/>
          <w:jc w:val="center"/>
        </w:trPr>
        <w:tc>
          <w:tcPr>
            <w:tcW w:w="2271" w:type="pct"/>
            <w:gridSpan w:val="3"/>
            <w:tcBorders>
              <w:top w:val="single" w:sz="6" w:space="0" w:color="auto"/>
              <w:left w:val="single" w:sz="6" w:space="0" w:color="auto"/>
              <w:right w:val="single" w:sz="4" w:space="0" w:color="auto"/>
            </w:tcBorders>
            <w:shd w:val="clear" w:color="auto" w:fill="FFFFFF"/>
            <w:vAlign w:val="center"/>
          </w:tcPr>
          <w:p w:rsidR="001E2F52" w:rsidRPr="005A5A0A" w:rsidRDefault="001E2F52" w:rsidP="00C80809">
            <w:pPr>
              <w:ind w:left="1200" w:hangingChars="500" w:hanging="1200"/>
              <w:rPr>
                <w:rFonts w:ascii="宋体" w:hAnsi="宋体"/>
                <w:sz w:val="24"/>
              </w:rPr>
            </w:pPr>
            <w:r w:rsidRPr="00E35ADE">
              <w:rPr>
                <w:rFonts w:ascii="宋体" w:hAnsi="宋体" w:hint="eastAsia"/>
                <w:sz w:val="24"/>
              </w:rPr>
              <w:t>企业名称：</w:t>
            </w:r>
            <w:r w:rsidRPr="00A14B36">
              <w:rPr>
                <w:rFonts w:ascii="宋体" w:hAnsi="宋体" w:hint="eastAsia"/>
                <w:sz w:val="24"/>
              </w:rPr>
              <w:t>中科搏康（北京）医疗器械有限公司</w:t>
            </w:r>
          </w:p>
        </w:tc>
        <w:tc>
          <w:tcPr>
            <w:tcW w:w="2729" w:type="pct"/>
            <w:gridSpan w:val="3"/>
            <w:tcBorders>
              <w:top w:val="single" w:sz="6" w:space="0" w:color="auto"/>
              <w:left w:val="single" w:sz="4" w:space="0" w:color="auto"/>
              <w:right w:val="single" w:sz="6" w:space="0" w:color="auto"/>
            </w:tcBorders>
            <w:shd w:val="clear" w:color="auto" w:fill="FFFFFF"/>
            <w:vAlign w:val="center"/>
          </w:tcPr>
          <w:p w:rsidR="001E2F52" w:rsidRPr="005A5A0A" w:rsidRDefault="001E2F52" w:rsidP="00C80809">
            <w:pPr>
              <w:rPr>
                <w:rFonts w:ascii="宋体" w:hAnsi="宋体"/>
                <w:sz w:val="24"/>
              </w:rPr>
            </w:pPr>
            <w:r w:rsidRPr="00E35ADE">
              <w:rPr>
                <w:rFonts w:ascii="宋体" w:hAnsi="宋体" w:hint="eastAsia"/>
                <w:sz w:val="24"/>
              </w:rPr>
              <w:t>产品名称：</w:t>
            </w:r>
            <w:r w:rsidRPr="00A14B36">
              <w:rPr>
                <w:rFonts w:ascii="宋体" w:hAnsi="宋体" w:hint="eastAsia"/>
                <w:sz w:val="24"/>
              </w:rPr>
              <w:t>无创脑血氧监护仪</w:t>
            </w:r>
          </w:p>
        </w:tc>
      </w:tr>
      <w:tr w:rsidR="001E2F52" w:rsidRPr="00E35ADE" w:rsidTr="001E2F52">
        <w:trPr>
          <w:cantSplit/>
          <w:trHeight w:val="1903"/>
          <w:jc w:val="center"/>
        </w:trPr>
        <w:tc>
          <w:tcPr>
            <w:tcW w:w="740" w:type="pct"/>
            <w:tcBorders>
              <w:top w:val="single" w:sz="6" w:space="0" w:color="auto"/>
              <w:left w:val="single" w:sz="6" w:space="0" w:color="auto"/>
              <w:right w:val="single" w:sz="4" w:space="0" w:color="auto"/>
            </w:tcBorders>
            <w:shd w:val="clear" w:color="auto" w:fill="FFFFFF"/>
            <w:vAlign w:val="center"/>
          </w:tcPr>
          <w:p w:rsidR="001E2F52" w:rsidRPr="00E35ADE" w:rsidRDefault="001E2F52" w:rsidP="00C80809">
            <w:pPr>
              <w:rPr>
                <w:rFonts w:ascii="宋体" w:hAnsi="宋体"/>
                <w:sz w:val="24"/>
              </w:rPr>
            </w:pPr>
            <w:r w:rsidRPr="00E35ADE">
              <w:rPr>
                <w:rFonts w:ascii="宋体" w:hAnsi="宋体" w:hint="eastAsia"/>
                <w:sz w:val="24"/>
              </w:rPr>
              <w:t>规格型号</w:t>
            </w:r>
          </w:p>
        </w:tc>
        <w:tc>
          <w:tcPr>
            <w:tcW w:w="4260" w:type="pct"/>
            <w:gridSpan w:val="5"/>
            <w:tcBorders>
              <w:top w:val="single" w:sz="6" w:space="0" w:color="auto"/>
              <w:left w:val="single" w:sz="4" w:space="0" w:color="auto"/>
              <w:right w:val="single" w:sz="6" w:space="0" w:color="auto"/>
            </w:tcBorders>
            <w:shd w:val="clear" w:color="auto" w:fill="FFFFFF"/>
            <w:vAlign w:val="center"/>
          </w:tcPr>
          <w:p w:rsidR="001E2F52" w:rsidRPr="00A14B36" w:rsidRDefault="001E2F52" w:rsidP="00C80809">
            <w:pPr>
              <w:rPr>
                <w:rFonts w:ascii="宋体" w:hAnsi="宋体"/>
                <w:sz w:val="24"/>
              </w:rPr>
            </w:pPr>
            <w:r w:rsidRPr="00A14B36">
              <w:rPr>
                <w:rFonts w:ascii="宋体" w:hAnsi="宋体"/>
                <w:sz w:val="24"/>
              </w:rPr>
              <w:t>BRS-1</w:t>
            </w:r>
          </w:p>
        </w:tc>
      </w:tr>
      <w:tr w:rsidR="001E2F52" w:rsidTr="001E2F52">
        <w:trPr>
          <w:cantSplit/>
          <w:trHeight w:val="255"/>
          <w:jc w:val="center"/>
        </w:trPr>
        <w:tc>
          <w:tcPr>
            <w:tcW w:w="740" w:type="pct"/>
            <w:tcBorders>
              <w:top w:val="single" w:sz="6" w:space="0" w:color="auto"/>
              <w:left w:val="single" w:sz="6" w:space="0" w:color="auto"/>
              <w:right w:val="single" w:sz="4" w:space="0" w:color="auto"/>
            </w:tcBorders>
            <w:shd w:val="clear" w:color="auto" w:fill="FFFFFF"/>
            <w:vAlign w:val="center"/>
          </w:tcPr>
          <w:p w:rsidR="001E2F52" w:rsidRPr="00BA0570" w:rsidRDefault="001E2F52" w:rsidP="00C80809">
            <w:pPr>
              <w:rPr>
                <w:rFonts w:ascii="宋体" w:hAnsi="宋体"/>
                <w:sz w:val="24"/>
              </w:rPr>
            </w:pPr>
            <w:r w:rsidRPr="00BA0570">
              <w:rPr>
                <w:rFonts w:ascii="宋体" w:hAnsi="宋体" w:hint="eastAsia"/>
                <w:sz w:val="24"/>
              </w:rPr>
              <w:t>产品分类</w:t>
            </w:r>
          </w:p>
        </w:tc>
        <w:tc>
          <w:tcPr>
            <w:tcW w:w="4260" w:type="pct"/>
            <w:gridSpan w:val="5"/>
            <w:tcBorders>
              <w:top w:val="single" w:sz="6" w:space="0" w:color="auto"/>
              <w:left w:val="single" w:sz="4" w:space="0" w:color="auto"/>
              <w:right w:val="single" w:sz="6" w:space="0" w:color="auto"/>
            </w:tcBorders>
            <w:shd w:val="clear" w:color="auto" w:fill="FFFFFF"/>
            <w:vAlign w:val="center"/>
          </w:tcPr>
          <w:p w:rsidR="001E2F52" w:rsidRPr="00BA0570" w:rsidRDefault="001E2F52" w:rsidP="00C80809">
            <w:pPr>
              <w:spacing w:line="460" w:lineRule="exact"/>
              <w:rPr>
                <w:rFonts w:ascii="宋体" w:hAnsi="宋体"/>
                <w:sz w:val="24"/>
              </w:rPr>
            </w:pPr>
            <w:r w:rsidRPr="00900FCC">
              <w:rPr>
                <w:rFonts w:asciiTheme="minorEastAsia" w:hAnsiTheme="minorEastAsia" w:hint="eastAsia"/>
                <w:sz w:val="24"/>
              </w:rPr>
              <w:t>■</w:t>
            </w:r>
            <w:r w:rsidRPr="00BA0570">
              <w:rPr>
                <w:rFonts w:ascii="宋体" w:hAnsi="宋体" w:hint="eastAsia"/>
                <w:sz w:val="24"/>
              </w:rPr>
              <w:t>有源　□无源</w:t>
            </w:r>
            <w:r>
              <w:rPr>
                <w:rFonts w:ascii="宋体" w:hAnsi="宋体" w:hint="eastAsia"/>
                <w:sz w:val="24"/>
              </w:rPr>
              <w:t xml:space="preserve">  </w:t>
            </w:r>
            <w:r w:rsidRPr="00BA0570">
              <w:rPr>
                <w:rFonts w:ascii="宋体" w:hAnsi="宋体" w:hint="eastAsia"/>
                <w:sz w:val="24"/>
              </w:rPr>
              <w:t>□</w:t>
            </w:r>
            <w:r>
              <w:rPr>
                <w:rFonts w:ascii="宋体" w:hAnsi="宋体" w:hint="eastAsia"/>
                <w:sz w:val="24"/>
              </w:rPr>
              <w:t>临检设备</w:t>
            </w:r>
          </w:p>
        </w:tc>
      </w:tr>
      <w:tr w:rsidR="001E2F52" w:rsidTr="001E2F52">
        <w:trPr>
          <w:cantSplit/>
          <w:trHeight w:val="255"/>
          <w:jc w:val="center"/>
        </w:trPr>
        <w:tc>
          <w:tcPr>
            <w:tcW w:w="740" w:type="pct"/>
            <w:vMerge w:val="restart"/>
            <w:tcBorders>
              <w:top w:val="single" w:sz="6" w:space="0" w:color="auto"/>
              <w:left w:val="single" w:sz="6" w:space="0" w:color="auto"/>
              <w:right w:val="single" w:sz="4" w:space="0" w:color="auto"/>
            </w:tcBorders>
            <w:shd w:val="clear" w:color="auto" w:fill="FFFFFF"/>
            <w:vAlign w:val="center"/>
          </w:tcPr>
          <w:p w:rsidR="001E2F52" w:rsidRPr="00BA0570" w:rsidRDefault="001E2F52" w:rsidP="00C80809">
            <w:pPr>
              <w:rPr>
                <w:rFonts w:ascii="宋体" w:hAnsi="宋体"/>
                <w:sz w:val="24"/>
              </w:rPr>
            </w:pPr>
            <w:r w:rsidRPr="00BA0570">
              <w:rPr>
                <w:rFonts w:ascii="宋体" w:hAnsi="宋体" w:hint="eastAsia"/>
                <w:sz w:val="24"/>
              </w:rPr>
              <w:t>产品类代码</w:t>
            </w:r>
          </w:p>
        </w:tc>
        <w:tc>
          <w:tcPr>
            <w:tcW w:w="4260" w:type="pct"/>
            <w:gridSpan w:val="5"/>
            <w:tcBorders>
              <w:top w:val="single" w:sz="6" w:space="0" w:color="auto"/>
              <w:left w:val="single" w:sz="4" w:space="0" w:color="auto"/>
              <w:right w:val="single" w:sz="6" w:space="0" w:color="auto"/>
            </w:tcBorders>
            <w:shd w:val="clear" w:color="auto" w:fill="FFFFFF"/>
            <w:vAlign w:val="center"/>
          </w:tcPr>
          <w:p w:rsidR="001E2F52" w:rsidRPr="00E35ADE" w:rsidRDefault="001E2F52" w:rsidP="00C80809">
            <w:pPr>
              <w:spacing w:line="460" w:lineRule="exact"/>
              <w:rPr>
                <w:rFonts w:ascii="宋体" w:hAnsi="宋体"/>
                <w:sz w:val="24"/>
              </w:rPr>
            </w:pPr>
            <w:r w:rsidRPr="00E35ADE">
              <w:rPr>
                <w:rFonts w:ascii="宋体" w:hAnsi="宋体" w:hint="eastAsia"/>
                <w:sz w:val="24"/>
              </w:rPr>
              <w:t>分类代码：</w:t>
            </w:r>
            <w:r>
              <w:rPr>
                <w:rFonts w:ascii="宋体" w:hAnsi="宋体" w:hint="eastAsia"/>
                <w:sz w:val="24"/>
              </w:rPr>
              <w:t>07</w:t>
            </w:r>
            <w:r w:rsidRPr="00E35ADE">
              <w:rPr>
                <w:rFonts w:ascii="宋体" w:hAnsi="宋体" w:hint="eastAsia"/>
                <w:sz w:val="24"/>
              </w:rPr>
              <w:t xml:space="preserve"> </w:t>
            </w:r>
            <w:r w:rsidRPr="00C0777B">
              <w:rPr>
                <w:rFonts w:ascii="宋体" w:hAnsi="宋体" w:hint="eastAsia"/>
                <w:sz w:val="24"/>
              </w:rPr>
              <w:t xml:space="preserve"> </w:t>
            </w:r>
          </w:p>
        </w:tc>
      </w:tr>
      <w:tr w:rsidR="001E2F52" w:rsidTr="001E2F52">
        <w:trPr>
          <w:cantSplit/>
          <w:trHeight w:val="255"/>
          <w:jc w:val="center"/>
        </w:trPr>
        <w:tc>
          <w:tcPr>
            <w:tcW w:w="740" w:type="pct"/>
            <w:vMerge/>
            <w:tcBorders>
              <w:left w:val="single" w:sz="6" w:space="0" w:color="auto"/>
              <w:right w:val="single" w:sz="4" w:space="0" w:color="auto"/>
            </w:tcBorders>
            <w:shd w:val="clear" w:color="auto" w:fill="FFFFFF"/>
            <w:vAlign w:val="center"/>
          </w:tcPr>
          <w:p w:rsidR="001E2F52" w:rsidRPr="00BA0570" w:rsidRDefault="001E2F52" w:rsidP="00C80809">
            <w:pPr>
              <w:rPr>
                <w:rFonts w:ascii="宋体" w:hAnsi="宋体"/>
                <w:sz w:val="24"/>
              </w:rPr>
            </w:pPr>
          </w:p>
        </w:tc>
        <w:tc>
          <w:tcPr>
            <w:tcW w:w="4260" w:type="pct"/>
            <w:gridSpan w:val="5"/>
            <w:tcBorders>
              <w:top w:val="single" w:sz="6" w:space="0" w:color="auto"/>
              <w:left w:val="single" w:sz="4" w:space="0" w:color="auto"/>
              <w:right w:val="single" w:sz="6" w:space="0" w:color="auto"/>
            </w:tcBorders>
            <w:shd w:val="clear" w:color="auto" w:fill="FFFFFF"/>
            <w:vAlign w:val="center"/>
          </w:tcPr>
          <w:p w:rsidR="001E2F52" w:rsidRPr="00BA0570" w:rsidRDefault="001E2F52" w:rsidP="00C80809">
            <w:pPr>
              <w:spacing w:line="460" w:lineRule="exact"/>
              <w:rPr>
                <w:rFonts w:ascii="宋体" w:hAnsi="宋体"/>
                <w:sz w:val="24"/>
              </w:rPr>
            </w:pPr>
            <w:r w:rsidRPr="00BA0570">
              <w:rPr>
                <w:rFonts w:ascii="宋体" w:hAnsi="宋体" w:hint="eastAsia"/>
                <w:sz w:val="24"/>
              </w:rPr>
              <w:t>小类号：</w:t>
            </w:r>
            <w:r>
              <w:rPr>
                <w:rFonts w:ascii="宋体" w:hAnsi="宋体" w:hint="eastAsia"/>
                <w:sz w:val="24"/>
              </w:rPr>
              <w:t xml:space="preserve">04   </w:t>
            </w:r>
            <w:r w:rsidRPr="00BA0570">
              <w:rPr>
                <w:rFonts w:ascii="宋体" w:hAnsi="宋体" w:hint="eastAsia"/>
                <w:sz w:val="24"/>
              </w:rPr>
              <w:t>品种号：</w:t>
            </w:r>
          </w:p>
        </w:tc>
      </w:tr>
      <w:tr w:rsidR="001E2F52" w:rsidTr="001E2F52">
        <w:trPr>
          <w:cantSplit/>
          <w:trHeight w:val="539"/>
          <w:jc w:val="center"/>
        </w:trPr>
        <w:tc>
          <w:tcPr>
            <w:tcW w:w="740" w:type="pct"/>
            <w:tcBorders>
              <w:top w:val="single" w:sz="6" w:space="0" w:color="auto"/>
              <w:left w:val="single" w:sz="6" w:space="0" w:color="auto"/>
              <w:right w:val="single" w:sz="4" w:space="0" w:color="auto"/>
            </w:tcBorders>
            <w:shd w:val="clear" w:color="auto" w:fill="FFFFFF"/>
            <w:vAlign w:val="center"/>
          </w:tcPr>
          <w:p w:rsidR="001E2F52" w:rsidRPr="00BA0570" w:rsidRDefault="001E2F52" w:rsidP="00C80809">
            <w:pPr>
              <w:rPr>
                <w:rFonts w:ascii="宋体" w:hAnsi="宋体"/>
                <w:sz w:val="24"/>
              </w:rPr>
            </w:pPr>
            <w:r w:rsidRPr="00BA0570">
              <w:rPr>
                <w:rFonts w:ascii="宋体" w:hAnsi="宋体" w:hint="eastAsia"/>
                <w:sz w:val="24"/>
              </w:rPr>
              <w:t>注册类型</w:t>
            </w:r>
          </w:p>
        </w:tc>
        <w:tc>
          <w:tcPr>
            <w:tcW w:w="4260" w:type="pct"/>
            <w:gridSpan w:val="5"/>
            <w:tcBorders>
              <w:top w:val="single" w:sz="6" w:space="0" w:color="auto"/>
              <w:left w:val="single" w:sz="4" w:space="0" w:color="auto"/>
              <w:right w:val="single" w:sz="6" w:space="0" w:color="auto"/>
            </w:tcBorders>
            <w:shd w:val="clear" w:color="auto" w:fill="FFFFFF"/>
            <w:vAlign w:val="center"/>
          </w:tcPr>
          <w:p w:rsidR="001E2F52" w:rsidRPr="00900FCC" w:rsidRDefault="001E2F52" w:rsidP="00C80809">
            <w:pPr>
              <w:rPr>
                <w:rFonts w:ascii="宋体" w:hAnsi="宋体"/>
                <w:sz w:val="24"/>
              </w:rPr>
            </w:pPr>
            <w:r w:rsidRPr="00900FCC">
              <w:rPr>
                <w:rFonts w:asciiTheme="minorEastAsia" w:hAnsiTheme="minorEastAsia" w:hint="eastAsia"/>
                <w:sz w:val="24"/>
              </w:rPr>
              <w:t>■</w:t>
            </w:r>
            <w:r w:rsidRPr="00900FCC">
              <w:rPr>
                <w:rFonts w:ascii="宋体" w:hAnsi="宋体" w:hint="eastAsia"/>
                <w:sz w:val="24"/>
              </w:rPr>
              <w:t>首次注册  □许可事项变更  □延续注册</w:t>
            </w:r>
          </w:p>
        </w:tc>
      </w:tr>
      <w:tr w:rsidR="001E2F52" w:rsidTr="001E2F52">
        <w:trPr>
          <w:cantSplit/>
          <w:trHeight w:val="519"/>
          <w:jc w:val="center"/>
        </w:trPr>
        <w:tc>
          <w:tcPr>
            <w:tcW w:w="740" w:type="pct"/>
            <w:tcBorders>
              <w:top w:val="single" w:sz="6" w:space="0" w:color="auto"/>
              <w:left w:val="single" w:sz="6" w:space="0" w:color="auto"/>
              <w:right w:val="single" w:sz="4" w:space="0" w:color="auto"/>
            </w:tcBorders>
            <w:shd w:val="clear" w:color="auto" w:fill="FFFFFF"/>
            <w:vAlign w:val="center"/>
          </w:tcPr>
          <w:p w:rsidR="001E2F52" w:rsidRPr="00BA0570" w:rsidRDefault="001E2F52" w:rsidP="00C80809">
            <w:pPr>
              <w:spacing w:line="460" w:lineRule="exact"/>
              <w:rPr>
                <w:rFonts w:ascii="宋体" w:hAnsi="宋体"/>
                <w:sz w:val="24"/>
              </w:rPr>
            </w:pPr>
            <w:r w:rsidRPr="00BA0570">
              <w:rPr>
                <w:rFonts w:ascii="宋体" w:hAnsi="宋体" w:hint="eastAsia"/>
                <w:sz w:val="24"/>
              </w:rPr>
              <w:t>临床试验</w:t>
            </w:r>
          </w:p>
        </w:tc>
        <w:tc>
          <w:tcPr>
            <w:tcW w:w="4260" w:type="pct"/>
            <w:gridSpan w:val="5"/>
            <w:tcBorders>
              <w:top w:val="single" w:sz="6" w:space="0" w:color="auto"/>
              <w:left w:val="single" w:sz="4" w:space="0" w:color="auto"/>
              <w:right w:val="single" w:sz="6" w:space="0" w:color="auto"/>
            </w:tcBorders>
            <w:shd w:val="clear" w:color="auto" w:fill="FFFFFF"/>
            <w:vAlign w:val="center"/>
          </w:tcPr>
          <w:p w:rsidR="001E2F52" w:rsidRPr="00BA0570" w:rsidRDefault="001E2F52" w:rsidP="00C80809">
            <w:pPr>
              <w:widowControl/>
              <w:rPr>
                <w:rFonts w:ascii="宋体" w:hAnsi="宋体"/>
                <w:sz w:val="24"/>
              </w:rPr>
            </w:pPr>
            <w:r w:rsidRPr="00900FCC">
              <w:rPr>
                <w:rFonts w:asciiTheme="minorEastAsia" w:hAnsiTheme="minorEastAsia" w:hint="eastAsia"/>
                <w:sz w:val="24"/>
              </w:rPr>
              <w:t>■</w:t>
            </w:r>
            <w:r w:rsidRPr="00BA0570">
              <w:rPr>
                <w:rFonts w:ascii="宋体" w:hAnsi="宋体" w:hint="eastAsia"/>
                <w:sz w:val="24"/>
              </w:rPr>
              <w:t>试验  □豁免  □评价</w:t>
            </w:r>
          </w:p>
        </w:tc>
      </w:tr>
      <w:tr w:rsidR="001E2F52" w:rsidTr="001E2F52">
        <w:trPr>
          <w:cantSplit/>
          <w:trHeight w:val="631"/>
          <w:jc w:val="center"/>
        </w:trPr>
        <w:tc>
          <w:tcPr>
            <w:tcW w:w="740" w:type="pct"/>
            <w:tcBorders>
              <w:top w:val="single" w:sz="6" w:space="0" w:color="auto"/>
              <w:left w:val="single" w:sz="6" w:space="0" w:color="auto"/>
              <w:bottom w:val="single" w:sz="6" w:space="0" w:color="auto"/>
              <w:right w:val="single" w:sz="4" w:space="0" w:color="auto"/>
            </w:tcBorders>
            <w:shd w:val="clear" w:color="auto" w:fill="FFFFFF"/>
            <w:vAlign w:val="center"/>
          </w:tcPr>
          <w:p w:rsidR="001E2F52" w:rsidRPr="00BA0570" w:rsidRDefault="001E2F52" w:rsidP="00C80809">
            <w:pPr>
              <w:spacing w:line="460" w:lineRule="exact"/>
              <w:rPr>
                <w:rFonts w:ascii="宋体" w:hAnsi="宋体"/>
                <w:sz w:val="24"/>
              </w:rPr>
            </w:pPr>
            <w:r w:rsidRPr="00BA0570">
              <w:rPr>
                <w:rFonts w:ascii="宋体" w:hAnsi="宋体" w:hint="eastAsia"/>
                <w:sz w:val="24"/>
              </w:rPr>
              <w:t>体系核查</w:t>
            </w:r>
          </w:p>
        </w:tc>
        <w:tc>
          <w:tcPr>
            <w:tcW w:w="1474" w:type="pct"/>
            <w:tcBorders>
              <w:top w:val="single" w:sz="6" w:space="0" w:color="auto"/>
              <w:left w:val="single" w:sz="4" w:space="0" w:color="auto"/>
              <w:bottom w:val="single" w:sz="6" w:space="0" w:color="auto"/>
              <w:right w:val="single" w:sz="4" w:space="0" w:color="auto"/>
            </w:tcBorders>
            <w:shd w:val="clear" w:color="auto" w:fill="FFFFFF"/>
            <w:vAlign w:val="center"/>
          </w:tcPr>
          <w:p w:rsidR="001E2F52" w:rsidRPr="00900FCC" w:rsidRDefault="001E2F52" w:rsidP="00C80809">
            <w:pPr>
              <w:spacing w:line="360" w:lineRule="exact"/>
              <w:rPr>
                <w:rFonts w:ascii="宋体" w:hAnsi="宋体"/>
                <w:sz w:val="24"/>
              </w:rPr>
            </w:pPr>
            <w:r w:rsidRPr="00900FCC">
              <w:rPr>
                <w:rFonts w:asciiTheme="minorEastAsia" w:hAnsiTheme="minorEastAsia" w:hint="eastAsia"/>
                <w:sz w:val="24"/>
              </w:rPr>
              <w:t>■</w:t>
            </w:r>
            <w:r w:rsidRPr="00900FCC">
              <w:rPr>
                <w:rFonts w:ascii="宋体" w:hAnsi="宋体" w:hint="eastAsia"/>
                <w:sz w:val="24"/>
              </w:rPr>
              <w:t>通则  □无菌  □植入</w:t>
            </w:r>
          </w:p>
          <w:p w:rsidR="001E2F52" w:rsidRPr="00900FCC" w:rsidRDefault="001E2F52" w:rsidP="00C80809">
            <w:pPr>
              <w:spacing w:line="360" w:lineRule="exact"/>
              <w:rPr>
                <w:rFonts w:ascii="宋体" w:hAnsi="宋体"/>
                <w:sz w:val="24"/>
              </w:rPr>
            </w:pPr>
            <w:r w:rsidRPr="00900FCC">
              <w:rPr>
                <w:rFonts w:ascii="宋体" w:hAnsi="宋体" w:hint="eastAsia"/>
                <w:sz w:val="24"/>
              </w:rPr>
              <w:t>□义齿  □其他</w:t>
            </w:r>
          </w:p>
        </w:tc>
        <w:tc>
          <w:tcPr>
            <w:tcW w:w="1036"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rsidR="001E2F52" w:rsidRPr="00E35ADE" w:rsidRDefault="001E2F52" w:rsidP="00C80809">
            <w:pPr>
              <w:spacing w:line="360" w:lineRule="exact"/>
              <w:rPr>
                <w:rFonts w:ascii="宋体" w:hAnsi="宋体"/>
                <w:sz w:val="24"/>
              </w:rPr>
            </w:pPr>
            <w:r w:rsidRPr="00900FCC">
              <w:rPr>
                <w:rFonts w:asciiTheme="minorEastAsia" w:hAnsiTheme="minorEastAsia" w:hint="eastAsia"/>
                <w:sz w:val="24"/>
              </w:rPr>
              <w:t>■</w:t>
            </w:r>
            <w:r w:rsidRPr="00E35ADE">
              <w:rPr>
                <w:rFonts w:ascii="宋体" w:hAnsi="宋体" w:hint="eastAsia"/>
                <w:sz w:val="24"/>
              </w:rPr>
              <w:t>现场   □函审</w:t>
            </w:r>
          </w:p>
          <w:p w:rsidR="001E2F52" w:rsidRPr="00E35ADE" w:rsidRDefault="001E2F52" w:rsidP="00C80809">
            <w:pPr>
              <w:spacing w:line="360" w:lineRule="exact"/>
              <w:rPr>
                <w:rFonts w:ascii="宋体" w:hAnsi="宋体"/>
                <w:sz w:val="24"/>
              </w:rPr>
            </w:pPr>
            <w:r w:rsidRPr="00E35ADE">
              <w:rPr>
                <w:rFonts w:ascii="宋体" w:hAnsi="宋体" w:hint="eastAsia"/>
                <w:sz w:val="24"/>
              </w:rPr>
              <w:t>□覆盖</w:t>
            </w:r>
          </w:p>
        </w:tc>
        <w:tc>
          <w:tcPr>
            <w:tcW w:w="1750" w:type="pct"/>
            <w:gridSpan w:val="2"/>
            <w:tcBorders>
              <w:top w:val="single" w:sz="6" w:space="0" w:color="auto"/>
              <w:left w:val="single" w:sz="4" w:space="0" w:color="auto"/>
              <w:bottom w:val="single" w:sz="6" w:space="0" w:color="auto"/>
              <w:right w:val="single" w:sz="6" w:space="0" w:color="auto"/>
            </w:tcBorders>
            <w:shd w:val="clear" w:color="auto" w:fill="FFFFFF"/>
            <w:vAlign w:val="center"/>
          </w:tcPr>
          <w:p w:rsidR="001E2F52" w:rsidRPr="00E35ADE" w:rsidRDefault="001E2F52" w:rsidP="00C80809">
            <w:pPr>
              <w:spacing w:line="360" w:lineRule="exact"/>
              <w:rPr>
                <w:rFonts w:ascii="宋体" w:hAnsi="宋体"/>
                <w:sz w:val="24"/>
              </w:rPr>
            </w:pPr>
            <w:r w:rsidRPr="00E35ADE">
              <w:rPr>
                <w:rFonts w:ascii="宋体" w:hAnsi="宋体" w:hint="eastAsia"/>
                <w:sz w:val="24"/>
              </w:rPr>
              <w:t>报告编号：</w:t>
            </w:r>
            <w:r w:rsidRPr="00A14B36">
              <w:rPr>
                <w:rFonts w:ascii="宋体" w:hAnsi="宋体"/>
                <w:sz w:val="24"/>
              </w:rPr>
              <w:t>ZH-20-015</w:t>
            </w:r>
          </w:p>
        </w:tc>
      </w:tr>
      <w:tr w:rsidR="001E2F52" w:rsidRPr="00900FCC" w:rsidTr="001E2F52">
        <w:trPr>
          <w:gridAfter w:val="1"/>
          <w:wAfter w:w="3" w:type="pct"/>
          <w:cantSplit/>
          <w:trHeight w:val="631"/>
          <w:jc w:val="center"/>
        </w:trPr>
        <w:tc>
          <w:tcPr>
            <w:tcW w:w="740" w:type="pct"/>
            <w:tcBorders>
              <w:top w:val="single" w:sz="6" w:space="0" w:color="auto"/>
              <w:left w:val="single" w:sz="6" w:space="0" w:color="auto"/>
              <w:bottom w:val="single" w:sz="6" w:space="0" w:color="auto"/>
              <w:right w:val="single" w:sz="4" w:space="0" w:color="auto"/>
            </w:tcBorders>
            <w:shd w:val="clear" w:color="auto" w:fill="FFFFFF"/>
            <w:vAlign w:val="center"/>
          </w:tcPr>
          <w:p w:rsidR="001E2F52" w:rsidRPr="00900FCC" w:rsidRDefault="001E2F52" w:rsidP="00C80809">
            <w:pPr>
              <w:spacing w:line="460" w:lineRule="exact"/>
              <w:jc w:val="center"/>
              <w:rPr>
                <w:rFonts w:ascii="宋体" w:hAnsi="宋体"/>
                <w:sz w:val="24"/>
              </w:rPr>
            </w:pPr>
            <w:r w:rsidRPr="00900FCC">
              <w:rPr>
                <w:rFonts w:ascii="宋体" w:hAnsi="宋体" w:hint="eastAsia"/>
                <w:sz w:val="24"/>
              </w:rPr>
              <w:t>快速</w:t>
            </w:r>
          </w:p>
          <w:p w:rsidR="001E2F52" w:rsidRPr="00900FCC" w:rsidRDefault="001E2F52" w:rsidP="00C80809">
            <w:pPr>
              <w:spacing w:line="460" w:lineRule="exact"/>
              <w:jc w:val="center"/>
              <w:rPr>
                <w:rFonts w:ascii="宋体" w:hAnsi="宋体"/>
                <w:sz w:val="24"/>
              </w:rPr>
            </w:pPr>
            <w:r w:rsidRPr="00900FCC">
              <w:rPr>
                <w:rFonts w:ascii="宋体" w:hAnsi="宋体" w:hint="eastAsia"/>
                <w:sz w:val="24"/>
              </w:rPr>
              <w:t>审评审批</w:t>
            </w:r>
          </w:p>
        </w:tc>
        <w:tc>
          <w:tcPr>
            <w:tcW w:w="4257" w:type="pct"/>
            <w:gridSpan w:val="4"/>
            <w:tcBorders>
              <w:top w:val="single" w:sz="6" w:space="0" w:color="auto"/>
              <w:left w:val="single" w:sz="4" w:space="0" w:color="auto"/>
              <w:bottom w:val="single" w:sz="6" w:space="0" w:color="auto"/>
              <w:right w:val="single" w:sz="6" w:space="0" w:color="auto"/>
            </w:tcBorders>
            <w:shd w:val="clear" w:color="auto" w:fill="FFFFFF"/>
            <w:vAlign w:val="center"/>
          </w:tcPr>
          <w:p w:rsidR="001E2F52" w:rsidRPr="00900FCC" w:rsidRDefault="001E2F52" w:rsidP="00C80809">
            <w:pPr>
              <w:spacing w:line="460" w:lineRule="exact"/>
              <w:rPr>
                <w:rFonts w:ascii="宋体" w:hAnsi="宋体"/>
                <w:sz w:val="24"/>
              </w:rPr>
            </w:pPr>
            <w:r w:rsidRPr="00900FCC">
              <w:rPr>
                <w:rFonts w:asciiTheme="minorEastAsia" w:hAnsiTheme="minorEastAsia" w:hint="eastAsia"/>
                <w:sz w:val="24"/>
              </w:rPr>
              <w:t>■</w:t>
            </w:r>
            <w:r w:rsidRPr="00900FCC">
              <w:rPr>
                <w:rFonts w:ascii="宋体" w:hAnsi="宋体" w:hint="eastAsia"/>
                <w:sz w:val="24"/>
              </w:rPr>
              <w:t xml:space="preserve">创新医疗器械        □优先医疗器械                           </w:t>
            </w:r>
          </w:p>
        </w:tc>
      </w:tr>
    </w:tbl>
    <w:p w:rsidR="001E2F52" w:rsidRPr="001E2F52" w:rsidRDefault="001E2F52" w:rsidP="002611A6">
      <w:pPr>
        <w:tabs>
          <w:tab w:val="left" w:pos="7335"/>
        </w:tabs>
        <w:jc w:val="left"/>
        <w:rPr>
          <w:rFonts w:ascii="宋体" w:hAnsi="宋体"/>
          <w:b/>
          <w:bCs/>
          <w:sz w:val="24"/>
        </w:rPr>
      </w:pPr>
    </w:p>
    <w:p w:rsidR="001E2F52" w:rsidRDefault="001E2F52" w:rsidP="002611A6">
      <w:pPr>
        <w:tabs>
          <w:tab w:val="left" w:pos="7335"/>
        </w:tabs>
        <w:jc w:val="left"/>
        <w:rPr>
          <w:rFonts w:ascii="宋体" w:hAnsi="宋体"/>
          <w:b/>
          <w:bCs/>
          <w:sz w:val="24"/>
        </w:rPr>
      </w:pPr>
    </w:p>
    <w:p w:rsidR="001E2F52" w:rsidRDefault="001E2F52" w:rsidP="002611A6">
      <w:pPr>
        <w:tabs>
          <w:tab w:val="left" w:pos="7335"/>
        </w:tabs>
        <w:jc w:val="left"/>
        <w:rPr>
          <w:rFonts w:ascii="宋体" w:hAnsi="宋体"/>
          <w:b/>
          <w:bCs/>
          <w:sz w:val="24"/>
        </w:rPr>
      </w:pPr>
    </w:p>
    <w:p w:rsidR="001E2F52" w:rsidRDefault="001E2F52" w:rsidP="002611A6">
      <w:pPr>
        <w:tabs>
          <w:tab w:val="left" w:pos="7335"/>
        </w:tabs>
        <w:jc w:val="left"/>
        <w:rPr>
          <w:rFonts w:ascii="宋体" w:hAnsi="宋体"/>
          <w:sz w:val="24"/>
        </w:rPr>
      </w:pPr>
    </w:p>
    <w:p w:rsidR="001E2F52" w:rsidRDefault="001E2F52">
      <w:pPr>
        <w:widowControl/>
        <w:jc w:val="left"/>
        <w:rPr>
          <w:rFonts w:ascii="宋体" w:hAnsi="宋体"/>
          <w:sz w:val="24"/>
        </w:rPr>
      </w:pPr>
      <w:r>
        <w:rPr>
          <w:rFonts w:ascii="宋体" w:hAnsi="宋体"/>
          <w:sz w:val="24"/>
        </w:rPr>
        <w:br w:type="page"/>
      </w:r>
    </w:p>
    <w:tbl>
      <w:tblPr>
        <w:tblW w:w="4984" w:type="pct"/>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shd w:val="clear" w:color="auto" w:fill="FFFFFF"/>
        <w:tblLook w:val="0000"/>
      </w:tblPr>
      <w:tblGrid>
        <w:gridCol w:w="1134"/>
        <w:gridCol w:w="7367"/>
      </w:tblGrid>
      <w:tr w:rsidR="00241A67" w:rsidTr="00157088">
        <w:trPr>
          <w:trHeight w:val="4635"/>
          <w:jc w:val="center"/>
        </w:trPr>
        <w:tc>
          <w:tcPr>
            <w:tcW w:w="665" w:type="pct"/>
            <w:tcBorders>
              <w:top w:val="single" w:sz="6" w:space="0" w:color="auto"/>
              <w:left w:val="single" w:sz="6" w:space="0" w:color="auto"/>
              <w:right w:val="single" w:sz="4" w:space="0" w:color="auto"/>
            </w:tcBorders>
            <w:shd w:val="clear" w:color="auto" w:fill="FFFFFF"/>
            <w:vAlign w:val="center"/>
          </w:tcPr>
          <w:p w:rsidR="002611A6" w:rsidRDefault="001D459B" w:rsidP="00470298">
            <w:pPr>
              <w:jc w:val="center"/>
              <w:rPr>
                <w:rFonts w:ascii="宋体" w:hAnsi="宋体" w:cs="宋体"/>
                <w:sz w:val="28"/>
                <w:szCs w:val="28"/>
              </w:rPr>
            </w:pPr>
            <w:r>
              <w:lastRenderedPageBreak/>
              <w:br w:type="page"/>
            </w:r>
            <w:r w:rsidR="002611A6">
              <w:rPr>
                <w:rFonts w:ascii="宋体" w:hAnsi="宋体" w:cs="宋体" w:hint="eastAsia"/>
                <w:sz w:val="28"/>
                <w:szCs w:val="28"/>
              </w:rPr>
              <w:t>产</w:t>
            </w:r>
          </w:p>
          <w:p w:rsidR="002611A6" w:rsidRDefault="002611A6" w:rsidP="00470298">
            <w:pPr>
              <w:jc w:val="center"/>
              <w:rPr>
                <w:rFonts w:ascii="宋体" w:hAnsi="宋体" w:cs="宋体"/>
                <w:sz w:val="28"/>
                <w:szCs w:val="28"/>
              </w:rPr>
            </w:pPr>
            <w:r>
              <w:rPr>
                <w:rFonts w:ascii="宋体" w:hAnsi="宋体" w:cs="宋体" w:hint="eastAsia"/>
                <w:sz w:val="28"/>
                <w:szCs w:val="28"/>
              </w:rPr>
              <w:t>品</w:t>
            </w:r>
          </w:p>
          <w:p w:rsidR="002611A6" w:rsidRDefault="002611A6" w:rsidP="00470298">
            <w:pPr>
              <w:jc w:val="center"/>
              <w:rPr>
                <w:rFonts w:ascii="宋体" w:hAnsi="宋体" w:cs="宋体"/>
                <w:sz w:val="28"/>
                <w:szCs w:val="28"/>
              </w:rPr>
            </w:pPr>
            <w:r>
              <w:rPr>
                <w:rFonts w:ascii="宋体" w:hAnsi="宋体" w:cs="宋体" w:hint="eastAsia"/>
                <w:sz w:val="28"/>
                <w:szCs w:val="28"/>
              </w:rPr>
              <w:t>概</w:t>
            </w:r>
          </w:p>
          <w:p w:rsidR="00442EB2" w:rsidRPr="001D459B" w:rsidRDefault="002611A6" w:rsidP="00470298">
            <w:pPr>
              <w:jc w:val="center"/>
              <w:rPr>
                <w:rFonts w:ascii="宋体" w:hAnsi="宋体"/>
                <w:sz w:val="32"/>
              </w:rPr>
            </w:pPr>
            <w:r>
              <w:rPr>
                <w:rFonts w:ascii="宋体" w:hAnsi="宋体" w:cs="宋体" w:hint="eastAsia"/>
                <w:sz w:val="28"/>
                <w:szCs w:val="28"/>
              </w:rPr>
              <w:t>述</w:t>
            </w:r>
          </w:p>
        </w:tc>
        <w:tc>
          <w:tcPr>
            <w:tcW w:w="4317" w:type="pct"/>
            <w:tcBorders>
              <w:top w:val="single" w:sz="6" w:space="0" w:color="auto"/>
              <w:left w:val="single" w:sz="4" w:space="0" w:color="auto"/>
              <w:bottom w:val="single" w:sz="6" w:space="0" w:color="auto"/>
              <w:right w:val="single" w:sz="6" w:space="0" w:color="auto"/>
            </w:tcBorders>
            <w:shd w:val="clear" w:color="auto" w:fill="FFFFFF"/>
          </w:tcPr>
          <w:p w:rsidR="002B3B43" w:rsidRDefault="002B3B43" w:rsidP="002B3B43">
            <w:pPr>
              <w:spacing w:line="460" w:lineRule="exact"/>
              <w:rPr>
                <w:rFonts w:ascii="宋体" w:hAnsi="宋体"/>
                <w:sz w:val="24"/>
              </w:rPr>
            </w:pPr>
            <w:r>
              <w:rPr>
                <w:rFonts w:ascii="宋体" w:hAnsi="宋体" w:hint="eastAsia"/>
                <w:sz w:val="24"/>
              </w:rPr>
              <w:t>一、预期用途</w:t>
            </w:r>
          </w:p>
          <w:p w:rsidR="002B3B43" w:rsidRDefault="002B3B43" w:rsidP="00B16DC8">
            <w:pPr>
              <w:spacing w:line="360" w:lineRule="auto"/>
              <w:ind w:firstLine="560"/>
              <w:rPr>
                <w:rFonts w:ascii="宋体" w:hAnsi="宋体"/>
                <w:sz w:val="24"/>
              </w:rPr>
            </w:pPr>
            <w:r w:rsidRPr="006306F2">
              <w:rPr>
                <w:rFonts w:ascii="宋体" w:hAnsi="宋体" w:hint="eastAsia"/>
                <w:sz w:val="24"/>
              </w:rPr>
              <w:t>该产品适用于局部脑组织血氧饱和度以及外周组织血氧饱和度和指脉血氧饱和度的连续无创监测，可实现局部脑组织血氧饱和度监测数据的无线传输。</w:t>
            </w:r>
          </w:p>
          <w:p w:rsidR="002B3B43" w:rsidRPr="00F7477B" w:rsidRDefault="002B3B43" w:rsidP="002B3B43">
            <w:pPr>
              <w:spacing w:line="460" w:lineRule="exact"/>
              <w:rPr>
                <w:rFonts w:ascii="宋体" w:hAnsi="宋体"/>
                <w:sz w:val="24"/>
              </w:rPr>
            </w:pPr>
            <w:r w:rsidRPr="00F7477B">
              <w:rPr>
                <w:rFonts w:ascii="宋体" w:hAnsi="宋体" w:hint="eastAsia"/>
                <w:sz w:val="24"/>
              </w:rPr>
              <w:t>二、主要组成</w:t>
            </w:r>
          </w:p>
          <w:p w:rsidR="002B3B43" w:rsidRDefault="00643271" w:rsidP="00B16DC8">
            <w:pPr>
              <w:spacing w:line="360" w:lineRule="auto"/>
              <w:ind w:firstLine="560"/>
              <w:rPr>
                <w:rFonts w:ascii="宋体" w:hAnsi="宋体"/>
                <w:sz w:val="24"/>
              </w:rPr>
            </w:pPr>
            <w:r w:rsidRPr="006306F2">
              <w:rPr>
                <w:rFonts w:ascii="宋体" w:hAnsi="宋体" w:hint="eastAsia"/>
                <w:sz w:val="24"/>
              </w:rPr>
              <w:t>结构组成由主机、集线器、脑血氧探头、无线式脑血氧监测头带、组织血氧探头（选配）和指夹血氧探头（选配）组成。</w:t>
            </w:r>
          </w:p>
          <w:p w:rsidR="002B3B43" w:rsidRDefault="002B3B43" w:rsidP="002B3B43">
            <w:pPr>
              <w:spacing w:line="460" w:lineRule="exact"/>
              <w:rPr>
                <w:rFonts w:ascii="宋体" w:hAnsi="宋体"/>
                <w:sz w:val="24"/>
              </w:rPr>
            </w:pPr>
            <w:r>
              <w:rPr>
                <w:rFonts w:ascii="宋体" w:hAnsi="宋体" w:hint="eastAsia"/>
                <w:sz w:val="24"/>
              </w:rPr>
              <w:t>三、</w:t>
            </w:r>
            <w:r w:rsidRPr="006B22E8">
              <w:rPr>
                <w:rFonts w:ascii="宋体" w:hAnsi="宋体" w:hint="eastAsia"/>
                <w:sz w:val="24"/>
              </w:rPr>
              <w:t>型号/规格</w:t>
            </w:r>
          </w:p>
          <w:p w:rsidR="002B3B43" w:rsidRDefault="002B3B43" w:rsidP="00B16DC8">
            <w:pPr>
              <w:spacing w:line="360" w:lineRule="auto"/>
              <w:ind w:firstLine="560"/>
              <w:rPr>
                <w:rFonts w:ascii="宋体" w:hAnsi="宋体"/>
                <w:sz w:val="24"/>
              </w:rPr>
            </w:pPr>
            <w:r w:rsidRPr="00A14B36">
              <w:rPr>
                <w:rFonts w:ascii="宋体" w:hAnsi="宋体"/>
                <w:sz w:val="24"/>
              </w:rPr>
              <w:t>BRS-1</w:t>
            </w:r>
          </w:p>
          <w:p w:rsidR="00F0028F" w:rsidRDefault="00F0028F" w:rsidP="00F0028F">
            <w:pPr>
              <w:spacing w:line="360" w:lineRule="auto"/>
              <w:rPr>
                <w:rFonts w:ascii="宋体" w:hAnsi="宋体"/>
                <w:sz w:val="24"/>
              </w:rPr>
            </w:pPr>
            <w:r>
              <w:rPr>
                <w:rFonts w:ascii="宋体" w:hAnsi="宋体" w:hint="eastAsia"/>
                <w:sz w:val="24"/>
              </w:rPr>
              <w:t>四、分类编码</w:t>
            </w:r>
          </w:p>
          <w:p w:rsidR="00F0028F" w:rsidRPr="00F7477B" w:rsidRDefault="00F0028F" w:rsidP="00F0028F">
            <w:pPr>
              <w:spacing w:line="460" w:lineRule="exact"/>
              <w:rPr>
                <w:rFonts w:ascii="宋体" w:hAnsi="宋体"/>
                <w:sz w:val="24"/>
              </w:rPr>
            </w:pPr>
            <w:r w:rsidRPr="00900FCC">
              <w:rPr>
                <w:rFonts w:hint="eastAsia"/>
                <w:sz w:val="24"/>
              </w:rPr>
              <w:t>产品的分类编码为</w:t>
            </w:r>
            <w:r w:rsidRPr="00F0028F">
              <w:rPr>
                <w:rFonts w:hint="eastAsia"/>
                <w:sz w:val="24"/>
              </w:rPr>
              <w:t>07</w:t>
            </w:r>
            <w:r w:rsidRPr="00F0028F">
              <w:rPr>
                <w:rFonts w:hint="eastAsia"/>
                <w:sz w:val="24"/>
              </w:rPr>
              <w:t>医用诊察和监护器械</w:t>
            </w:r>
            <w:r w:rsidRPr="00900FCC">
              <w:rPr>
                <w:rFonts w:hint="eastAsia"/>
                <w:sz w:val="24"/>
              </w:rPr>
              <w:t>，一级产品类别为</w:t>
            </w:r>
            <w:r>
              <w:rPr>
                <w:rFonts w:hint="eastAsia"/>
                <w:sz w:val="24"/>
              </w:rPr>
              <w:t>04</w:t>
            </w:r>
            <w:r w:rsidRPr="00F0028F">
              <w:rPr>
                <w:rFonts w:hint="eastAsia"/>
                <w:sz w:val="24"/>
              </w:rPr>
              <w:t>监护设备</w:t>
            </w:r>
            <w:r>
              <w:rPr>
                <w:rFonts w:hint="eastAsia"/>
                <w:sz w:val="24"/>
              </w:rPr>
              <w:t>，即</w:t>
            </w:r>
            <w:r>
              <w:rPr>
                <w:rFonts w:hint="eastAsia"/>
                <w:sz w:val="24"/>
              </w:rPr>
              <w:t>07-04</w:t>
            </w:r>
            <w:r w:rsidRPr="00900FCC">
              <w:rPr>
                <w:rFonts w:hint="eastAsia"/>
                <w:sz w:val="24"/>
              </w:rPr>
              <w:t>，管理类别为Ⅱ类。</w:t>
            </w:r>
          </w:p>
          <w:p w:rsidR="002B3B43" w:rsidRPr="00F7477B" w:rsidRDefault="00F0028F" w:rsidP="002B3B43">
            <w:pPr>
              <w:spacing w:line="460" w:lineRule="exact"/>
              <w:rPr>
                <w:rFonts w:ascii="宋体" w:hAnsi="宋体"/>
                <w:sz w:val="24"/>
              </w:rPr>
            </w:pPr>
            <w:r>
              <w:rPr>
                <w:rFonts w:ascii="宋体" w:hAnsi="宋体" w:hint="eastAsia"/>
                <w:sz w:val="24"/>
              </w:rPr>
              <w:t>五</w:t>
            </w:r>
            <w:r w:rsidR="002B3B43" w:rsidRPr="00F7477B">
              <w:rPr>
                <w:rFonts w:ascii="宋体" w:hAnsi="宋体" w:hint="eastAsia"/>
                <w:sz w:val="24"/>
              </w:rPr>
              <w:t>、工作原理</w:t>
            </w:r>
          </w:p>
          <w:p w:rsidR="0030578E" w:rsidRPr="0030578E" w:rsidRDefault="0030578E" w:rsidP="00B16DC8">
            <w:pPr>
              <w:spacing w:line="360" w:lineRule="auto"/>
              <w:ind w:firstLine="560"/>
              <w:rPr>
                <w:rFonts w:ascii="宋体" w:hAnsi="宋体"/>
                <w:sz w:val="24"/>
              </w:rPr>
            </w:pPr>
            <w:r w:rsidRPr="0030578E">
              <w:rPr>
                <w:rFonts w:ascii="宋体" w:hAnsi="宋体" w:hint="eastAsia"/>
                <w:sz w:val="24"/>
              </w:rPr>
              <w:t>该产品根据功能近红外光谱技术，采用近红外波段的光照射人体组织，检测经过组织吸收和散射的近红外光。组织中对近红外光的主要吸收来自于脱氧血红蛋白以及含氧血红蛋白。该产品将监测到的近红外光强变化信号通过</w:t>
            </w:r>
            <w:bookmarkStart w:id="0" w:name="_Hlk43807806"/>
            <w:r w:rsidRPr="0030578E">
              <w:rPr>
                <w:rFonts w:ascii="宋体" w:hAnsi="宋体" w:hint="eastAsia"/>
                <w:sz w:val="24"/>
              </w:rPr>
              <w:t>朗伯特-比尔定律</w:t>
            </w:r>
            <w:bookmarkEnd w:id="0"/>
            <w:r w:rsidRPr="0030578E">
              <w:rPr>
                <w:rFonts w:ascii="宋体" w:hAnsi="宋体" w:hint="eastAsia"/>
                <w:sz w:val="24"/>
              </w:rPr>
              <w:t>解算成血氧饱和度信息。</w:t>
            </w:r>
          </w:p>
          <w:p w:rsidR="00442EB2" w:rsidRPr="006306F2" w:rsidRDefault="0030578E" w:rsidP="00B16DC8">
            <w:pPr>
              <w:spacing w:line="360" w:lineRule="auto"/>
              <w:ind w:firstLineChars="200" w:firstLine="480"/>
              <w:rPr>
                <w:rFonts w:ascii="宋体" w:hAnsi="宋体"/>
                <w:sz w:val="24"/>
              </w:rPr>
            </w:pPr>
            <w:r w:rsidRPr="0030578E">
              <w:rPr>
                <w:rFonts w:ascii="宋体" w:hAnsi="宋体" w:hint="eastAsia"/>
                <w:sz w:val="24"/>
              </w:rPr>
              <w:t>该产品提供最多6通道的血氧信号采集，每一通道探头都具有独立的光源驱动和信号处理采集模块。探头的光源驱动模块驱动多波长光源发光，探头的光电传感器采集包含血氧信息的光信号，并通过光电转换电路转化成电信号，然后经过多级信号放大和滤波处理并经过探头中集成的信号采集模块转换成数字信号。该产品的集线器作为一个数据中转中心，负责所有通道的数据打包及前期数据分析处理。集线器识别各通道是否正常连接，判断各通道状态，并设置通道标志，通过串口或蓝牙将数据按照协议格式打包传给主机。主机负责所有数据的解析及显示，根据数据包协议解析各通道数据，将有效数据显示在相应通道的屏幕位置，同时判断数据异常或探头未连接等情况并进行相应的报警。</w:t>
            </w:r>
          </w:p>
        </w:tc>
      </w:tr>
      <w:tr w:rsidR="00241A67" w:rsidTr="00157088">
        <w:trPr>
          <w:trHeight w:val="5769"/>
          <w:jc w:val="center"/>
        </w:trPr>
        <w:tc>
          <w:tcPr>
            <w:tcW w:w="665" w:type="pct"/>
            <w:tcBorders>
              <w:left w:val="single" w:sz="6" w:space="0" w:color="auto"/>
              <w:right w:val="single" w:sz="4" w:space="0" w:color="auto"/>
            </w:tcBorders>
            <w:shd w:val="clear" w:color="auto" w:fill="FFFFFF"/>
            <w:vAlign w:val="center"/>
          </w:tcPr>
          <w:p w:rsidR="00442EB2" w:rsidRPr="00976FD3" w:rsidRDefault="002611A6" w:rsidP="00470298">
            <w:pPr>
              <w:jc w:val="center"/>
              <w:rPr>
                <w:rFonts w:ascii="宋体" w:hAnsi="宋体"/>
                <w:color w:val="0070C0"/>
                <w:sz w:val="24"/>
              </w:rPr>
            </w:pPr>
            <w:r>
              <w:rPr>
                <w:rFonts w:ascii="宋体" w:hAnsi="宋体" w:cs="宋体" w:hint="eastAsia"/>
                <w:sz w:val="28"/>
                <w:szCs w:val="28"/>
              </w:rPr>
              <w:lastRenderedPageBreak/>
              <w:t>有关产品安全性、有效性主要评价内容</w:t>
            </w:r>
          </w:p>
        </w:tc>
        <w:tc>
          <w:tcPr>
            <w:tcW w:w="4317" w:type="pct"/>
            <w:tcBorders>
              <w:top w:val="single" w:sz="6" w:space="0" w:color="auto"/>
              <w:left w:val="single" w:sz="4" w:space="0" w:color="auto"/>
              <w:right w:val="single" w:sz="6" w:space="0" w:color="auto"/>
            </w:tcBorders>
            <w:shd w:val="clear" w:color="auto" w:fill="FFFFFF"/>
          </w:tcPr>
          <w:p w:rsidR="00BF47C4" w:rsidRPr="006B22E8" w:rsidRDefault="00BF47C4" w:rsidP="00BF47C4">
            <w:pPr>
              <w:spacing w:line="360" w:lineRule="auto"/>
              <w:rPr>
                <w:rFonts w:ascii="宋体" w:hAnsi="宋体" w:cs="宋体"/>
                <w:sz w:val="24"/>
              </w:rPr>
            </w:pPr>
            <w:r w:rsidRPr="006B22E8">
              <w:rPr>
                <w:rFonts w:ascii="宋体" w:hAnsi="宋体" w:cs="宋体" w:hint="eastAsia"/>
                <w:sz w:val="24"/>
              </w:rPr>
              <w:t>一、关于安全性</w:t>
            </w:r>
          </w:p>
          <w:p w:rsidR="00BF47C4" w:rsidRPr="006B22E8" w:rsidRDefault="00BF47C4" w:rsidP="00BF47C4">
            <w:pPr>
              <w:spacing w:line="360" w:lineRule="auto"/>
              <w:rPr>
                <w:rFonts w:ascii="宋体" w:hAnsi="宋体" w:cs="宋体"/>
                <w:sz w:val="24"/>
              </w:rPr>
            </w:pPr>
            <w:r w:rsidRPr="006B22E8">
              <w:rPr>
                <w:rFonts w:ascii="宋体" w:hAnsi="宋体" w:cs="宋体" w:hint="eastAsia"/>
                <w:sz w:val="24"/>
              </w:rPr>
              <w:t>（一）产品性能</w:t>
            </w:r>
            <w:r>
              <w:rPr>
                <w:rFonts w:ascii="宋体" w:hAnsi="宋体" w:cs="宋体" w:hint="eastAsia"/>
                <w:sz w:val="24"/>
              </w:rPr>
              <w:t>研究</w:t>
            </w:r>
          </w:p>
          <w:p w:rsidR="00BF47C4" w:rsidRDefault="00BF47C4" w:rsidP="00BF47C4">
            <w:pPr>
              <w:spacing w:line="360" w:lineRule="auto"/>
              <w:ind w:firstLineChars="200" w:firstLine="480"/>
              <w:rPr>
                <w:rFonts w:ascii="宋体" w:hAnsi="宋体" w:cs="宋体"/>
                <w:sz w:val="24"/>
              </w:rPr>
            </w:pPr>
            <w:r w:rsidRPr="006B22E8">
              <w:rPr>
                <w:rFonts w:ascii="宋体" w:hAnsi="宋体" w:cs="宋体" w:hint="eastAsia"/>
                <w:sz w:val="24"/>
              </w:rPr>
              <w:t>提供了产品性能研究资料以及产品技术要求的研究和编制说明，给出了产品电气安全特征、专用安全要求、环境试验要求、产品电磁兼容等安全性指标、功能性指标以及与质量控制相关的其他指标的确定依据。</w:t>
            </w:r>
          </w:p>
          <w:p w:rsidR="00BF47C4" w:rsidRDefault="00BF47C4" w:rsidP="006D445E">
            <w:pPr>
              <w:spacing w:line="360" w:lineRule="auto"/>
              <w:ind w:firstLine="560"/>
              <w:rPr>
                <w:rFonts w:ascii="宋体" w:hAnsi="宋体"/>
                <w:sz w:val="24"/>
              </w:rPr>
            </w:pPr>
            <w:r>
              <w:rPr>
                <w:rFonts w:ascii="宋体" w:hAnsi="宋体" w:cs="宋体" w:hint="eastAsia"/>
                <w:sz w:val="24"/>
              </w:rPr>
              <w:t>产品</w:t>
            </w:r>
            <w:r w:rsidRPr="006B22E8">
              <w:rPr>
                <w:rFonts w:ascii="宋体" w:hAnsi="宋体" w:cs="宋体" w:hint="eastAsia"/>
                <w:sz w:val="24"/>
              </w:rPr>
              <w:t>参考了相关的国家、行业标准，包括 ：GB 9706.1-2007</w:t>
            </w:r>
            <w:r>
              <w:rPr>
                <w:rFonts w:ascii="宋体" w:hAnsi="宋体" w:cs="宋体" w:hint="eastAsia"/>
                <w:sz w:val="24"/>
              </w:rPr>
              <w:t>《</w:t>
            </w:r>
            <w:r w:rsidRPr="00D12328">
              <w:rPr>
                <w:rFonts w:ascii="宋体" w:hAnsi="宋体" w:cs="宋体" w:hint="eastAsia"/>
                <w:sz w:val="24"/>
              </w:rPr>
              <w:t>医用电气设备 第一部分:安全通用要求</w:t>
            </w:r>
            <w:r>
              <w:rPr>
                <w:rFonts w:ascii="宋体" w:hAnsi="宋体" w:cs="宋体" w:hint="eastAsia"/>
                <w:sz w:val="24"/>
              </w:rPr>
              <w:t>》</w:t>
            </w:r>
            <w:r w:rsidRPr="006B22E8">
              <w:rPr>
                <w:rFonts w:ascii="宋体" w:hAnsi="宋体" w:cs="宋体" w:hint="eastAsia"/>
                <w:sz w:val="24"/>
              </w:rPr>
              <w:t>、</w:t>
            </w:r>
            <w:r w:rsidRPr="008C6BF4">
              <w:rPr>
                <w:rFonts w:ascii="宋体" w:hAnsi="宋体"/>
                <w:sz w:val="24"/>
              </w:rPr>
              <w:t>YY 0709-2009</w:t>
            </w:r>
            <w:r w:rsidR="006D445E">
              <w:rPr>
                <w:rFonts w:ascii="宋体" w:hAnsi="宋体" w:hint="eastAsia"/>
                <w:sz w:val="24"/>
              </w:rPr>
              <w:t>《</w:t>
            </w:r>
            <w:r w:rsidR="006D445E" w:rsidRPr="008C6BF4">
              <w:rPr>
                <w:rFonts w:ascii="宋体" w:hAnsi="宋体"/>
                <w:sz w:val="24"/>
              </w:rPr>
              <w:t>医用电气设备 第1-8部分：安全通用要求 并列标准：通用要求，医用电气设备和医用电气系统中报警系统的测试和指南</w:t>
            </w:r>
            <w:r w:rsidR="006D445E">
              <w:rPr>
                <w:rFonts w:ascii="宋体" w:hAnsi="宋体" w:hint="eastAsia"/>
                <w:sz w:val="24"/>
              </w:rPr>
              <w:t>》、</w:t>
            </w:r>
            <w:r w:rsidRPr="008C6BF4">
              <w:rPr>
                <w:rFonts w:ascii="宋体" w:hAnsi="宋体"/>
                <w:sz w:val="24"/>
              </w:rPr>
              <w:t xml:space="preserve">YY 0784-2010 </w:t>
            </w:r>
            <w:r w:rsidR="006D445E">
              <w:rPr>
                <w:rFonts w:ascii="宋体" w:hAnsi="宋体" w:hint="eastAsia"/>
                <w:sz w:val="24"/>
              </w:rPr>
              <w:t>《</w:t>
            </w:r>
            <w:r w:rsidR="006D445E" w:rsidRPr="008C6BF4">
              <w:rPr>
                <w:rFonts w:ascii="宋体" w:hAnsi="宋体"/>
                <w:sz w:val="24"/>
              </w:rPr>
              <w:t>医用电气设备 医用脉搏血氧仪设备基本安全和主要性能专用要求</w:t>
            </w:r>
            <w:r w:rsidR="006D445E">
              <w:rPr>
                <w:rFonts w:ascii="宋体" w:hAnsi="宋体" w:hint="eastAsia"/>
                <w:sz w:val="24"/>
              </w:rPr>
              <w:t>》、</w:t>
            </w:r>
            <w:r w:rsidRPr="006B22E8">
              <w:rPr>
                <w:rFonts w:ascii="宋体" w:hAnsi="宋体" w:cs="宋体" w:hint="eastAsia"/>
                <w:sz w:val="24"/>
              </w:rPr>
              <w:t>GB/T 14710-2009</w:t>
            </w:r>
            <w:r>
              <w:rPr>
                <w:rFonts w:ascii="宋体" w:hAnsi="宋体" w:cs="宋体" w:hint="eastAsia"/>
                <w:sz w:val="24"/>
              </w:rPr>
              <w:t>《</w:t>
            </w:r>
            <w:r w:rsidRPr="00D12328">
              <w:rPr>
                <w:rFonts w:ascii="宋体" w:hAnsi="宋体" w:cs="宋体" w:hint="eastAsia"/>
                <w:sz w:val="24"/>
              </w:rPr>
              <w:t>医用电器环境要求及试验方法</w:t>
            </w:r>
            <w:r>
              <w:rPr>
                <w:rFonts w:ascii="宋体" w:hAnsi="宋体" w:cs="宋体" w:hint="eastAsia"/>
                <w:sz w:val="24"/>
              </w:rPr>
              <w:t>》</w:t>
            </w:r>
            <w:r w:rsidRPr="006B22E8">
              <w:rPr>
                <w:rFonts w:ascii="宋体" w:hAnsi="宋体" w:cs="宋体" w:hint="eastAsia"/>
                <w:sz w:val="24"/>
              </w:rPr>
              <w:t>、YY 0505-2012</w:t>
            </w:r>
            <w:r>
              <w:rPr>
                <w:rFonts w:ascii="宋体" w:hAnsi="宋体" w:cs="宋体" w:hint="eastAsia"/>
                <w:sz w:val="24"/>
              </w:rPr>
              <w:t>《</w:t>
            </w:r>
            <w:r w:rsidRPr="00D12328">
              <w:rPr>
                <w:rFonts w:ascii="宋体" w:hAnsi="宋体" w:cs="宋体" w:hint="eastAsia"/>
                <w:sz w:val="24"/>
              </w:rPr>
              <w:t>医用电气设备 第1-2部分：安全通用要求 并列标准：电磁兼容 要求和试验</w:t>
            </w:r>
            <w:r>
              <w:rPr>
                <w:rFonts w:ascii="宋体" w:hAnsi="宋体" w:cs="宋体" w:hint="eastAsia"/>
                <w:sz w:val="24"/>
              </w:rPr>
              <w:t>》</w:t>
            </w:r>
            <w:r w:rsidRPr="006B22E8">
              <w:rPr>
                <w:rFonts w:ascii="宋体" w:hAnsi="宋体" w:cs="宋体" w:hint="eastAsia"/>
                <w:sz w:val="24"/>
              </w:rPr>
              <w:t>。性能指标还考虑了软件功能、机械性能、外观、网络安全等方面的要求，产品通过中国食品药品检定研究院的注册检测，取得合格的检测报告。</w:t>
            </w:r>
          </w:p>
          <w:p w:rsidR="00B450DA" w:rsidRPr="006B22E8" w:rsidRDefault="00B450DA" w:rsidP="00B450DA">
            <w:pPr>
              <w:spacing w:line="360" w:lineRule="auto"/>
              <w:rPr>
                <w:rFonts w:ascii="宋体" w:hAnsi="宋体" w:cs="宋体"/>
                <w:sz w:val="24"/>
              </w:rPr>
            </w:pPr>
            <w:r w:rsidRPr="006B22E8">
              <w:rPr>
                <w:rFonts w:ascii="宋体" w:hAnsi="宋体" w:cs="宋体" w:hint="eastAsia"/>
                <w:sz w:val="24"/>
              </w:rPr>
              <w:t>（二）生物相容性</w:t>
            </w:r>
          </w:p>
          <w:p w:rsidR="00B450DA" w:rsidRDefault="00B450DA" w:rsidP="00B450DA">
            <w:pPr>
              <w:spacing w:line="360" w:lineRule="auto"/>
              <w:ind w:firstLineChars="200" w:firstLine="480"/>
              <w:rPr>
                <w:rFonts w:ascii="宋体" w:hAnsi="宋体"/>
                <w:sz w:val="24"/>
              </w:rPr>
            </w:pPr>
            <w:r w:rsidRPr="008C6BF4">
              <w:rPr>
                <w:rFonts w:ascii="宋体" w:hAnsi="宋体" w:hint="eastAsia"/>
                <w:sz w:val="24"/>
              </w:rPr>
              <w:t>该产品在人体皮肤表面为短期外部接触，申请人依据</w:t>
            </w:r>
            <w:r w:rsidRPr="008C6BF4">
              <w:rPr>
                <w:rFonts w:ascii="宋体" w:hAnsi="宋体"/>
                <w:sz w:val="24"/>
              </w:rPr>
              <w:t>GB/T 16886 系列标</w:t>
            </w:r>
            <w:r w:rsidRPr="008C6BF4">
              <w:rPr>
                <w:rFonts w:ascii="宋体" w:hAnsi="宋体" w:hint="eastAsia"/>
                <w:sz w:val="24"/>
              </w:rPr>
              <w:t>准进行了生物相容性评价，生物相容性评价资料表明该产品的生物相容性风险（细胞毒性、致敏、刺激或皮内反应）可控。</w:t>
            </w:r>
          </w:p>
          <w:p w:rsidR="00B450DA" w:rsidRPr="006B22E8" w:rsidRDefault="00B450DA" w:rsidP="00B450DA">
            <w:pPr>
              <w:spacing w:line="360" w:lineRule="auto"/>
              <w:rPr>
                <w:rFonts w:ascii="宋体" w:hAnsi="宋体" w:cs="宋体"/>
                <w:sz w:val="24"/>
              </w:rPr>
            </w:pPr>
            <w:r w:rsidRPr="006B22E8">
              <w:rPr>
                <w:rFonts w:ascii="宋体" w:hAnsi="宋体" w:cs="宋体" w:hint="eastAsia"/>
                <w:sz w:val="24"/>
              </w:rPr>
              <w:t>（三）灭菌</w:t>
            </w:r>
          </w:p>
          <w:p w:rsidR="00B450DA" w:rsidRPr="006B22E8" w:rsidRDefault="00B450DA" w:rsidP="00B450DA">
            <w:pPr>
              <w:spacing w:line="360" w:lineRule="auto"/>
              <w:ind w:firstLineChars="200" w:firstLine="480"/>
              <w:rPr>
                <w:rFonts w:ascii="宋体" w:hAnsi="宋体" w:cs="宋体"/>
                <w:sz w:val="24"/>
              </w:rPr>
            </w:pPr>
            <w:r w:rsidRPr="006B22E8">
              <w:rPr>
                <w:rFonts w:ascii="宋体" w:hAnsi="宋体" w:cs="宋体" w:hint="eastAsia"/>
                <w:sz w:val="24"/>
              </w:rPr>
              <w:t>产品为非无菌产品。提供了消毒研究以及消毒方法的选择原则和依据。</w:t>
            </w:r>
            <w:r>
              <w:rPr>
                <w:rFonts w:ascii="宋体" w:hAnsi="宋体" w:cs="宋体" w:hint="eastAsia"/>
                <w:sz w:val="24"/>
              </w:rPr>
              <w:t>在说明书中明确了</w:t>
            </w:r>
            <w:r w:rsidR="00681809">
              <w:rPr>
                <w:rFonts w:ascii="宋体" w:hAnsi="宋体" w:cs="宋体" w:hint="eastAsia"/>
                <w:sz w:val="24"/>
              </w:rPr>
              <w:t>产品清洁、</w:t>
            </w:r>
            <w:r w:rsidRPr="006B22E8">
              <w:rPr>
                <w:rFonts w:ascii="宋体" w:hAnsi="宋体" w:cs="宋体" w:hint="eastAsia"/>
                <w:sz w:val="24"/>
              </w:rPr>
              <w:t>消毒方法</w:t>
            </w:r>
            <w:r w:rsidR="00681809">
              <w:rPr>
                <w:rFonts w:ascii="宋体" w:hAnsi="宋体" w:cs="宋体" w:hint="eastAsia"/>
                <w:sz w:val="24"/>
              </w:rPr>
              <w:t>，</w:t>
            </w:r>
            <w:r w:rsidRPr="006B22E8">
              <w:rPr>
                <w:rFonts w:ascii="宋体" w:hAnsi="宋体" w:cs="宋体" w:hint="eastAsia"/>
                <w:sz w:val="24"/>
              </w:rPr>
              <w:t>降低产品非预期接触患者</w:t>
            </w:r>
            <w:r w:rsidR="00681809">
              <w:rPr>
                <w:rFonts w:ascii="宋体" w:hAnsi="宋体" w:cs="宋体" w:hint="eastAsia"/>
                <w:sz w:val="24"/>
              </w:rPr>
              <w:t>感染</w:t>
            </w:r>
            <w:r w:rsidRPr="006B22E8">
              <w:rPr>
                <w:rFonts w:ascii="宋体" w:hAnsi="宋体" w:cs="宋体" w:hint="eastAsia"/>
                <w:sz w:val="24"/>
              </w:rPr>
              <w:t>的风险。</w:t>
            </w:r>
          </w:p>
          <w:p w:rsidR="00B450DA" w:rsidRPr="006B22E8" w:rsidRDefault="00B450DA" w:rsidP="00B450DA">
            <w:pPr>
              <w:spacing w:line="360" w:lineRule="auto"/>
              <w:rPr>
                <w:rFonts w:ascii="宋体" w:hAnsi="宋体" w:cs="宋体"/>
                <w:sz w:val="24"/>
              </w:rPr>
            </w:pPr>
            <w:r w:rsidRPr="006B22E8">
              <w:rPr>
                <w:rFonts w:ascii="宋体" w:hAnsi="宋体" w:cs="宋体" w:hint="eastAsia"/>
                <w:sz w:val="24"/>
              </w:rPr>
              <w:t>（四）产品有效期和包装</w:t>
            </w:r>
          </w:p>
          <w:p w:rsidR="00B450DA" w:rsidRPr="006B22E8" w:rsidRDefault="00B450DA" w:rsidP="003A72B4">
            <w:pPr>
              <w:spacing w:line="360" w:lineRule="auto"/>
              <w:ind w:firstLineChars="200" w:firstLine="480"/>
              <w:rPr>
                <w:rFonts w:ascii="宋体" w:hAnsi="宋体" w:cs="宋体"/>
                <w:sz w:val="24"/>
              </w:rPr>
            </w:pPr>
            <w:r w:rsidRPr="006B22E8">
              <w:rPr>
                <w:rFonts w:ascii="宋体" w:hAnsi="宋体" w:cs="宋体" w:hint="eastAsia"/>
                <w:sz w:val="24"/>
              </w:rPr>
              <w:t>该产品有效期为</w:t>
            </w:r>
            <w:r w:rsidR="003A72B4">
              <w:rPr>
                <w:rFonts w:ascii="宋体" w:hAnsi="宋体" w:cs="宋体"/>
                <w:sz w:val="24"/>
              </w:rPr>
              <w:t>10</w:t>
            </w:r>
            <w:r w:rsidRPr="006B22E8">
              <w:rPr>
                <w:rFonts w:ascii="宋体" w:hAnsi="宋体" w:cs="宋体" w:hint="eastAsia"/>
                <w:sz w:val="24"/>
              </w:rPr>
              <w:t>年，申请人提供了有效期验证报告，通过对主机进行加速老化试验，并对试验后的产品进行性能功能测试，证明其可以达到</w:t>
            </w:r>
            <w:r w:rsidR="003A72B4">
              <w:rPr>
                <w:rFonts w:ascii="宋体" w:hAnsi="宋体" w:cs="宋体"/>
                <w:sz w:val="24"/>
              </w:rPr>
              <w:t>10</w:t>
            </w:r>
            <w:r w:rsidRPr="006B22E8">
              <w:rPr>
                <w:rFonts w:ascii="宋体" w:hAnsi="宋体" w:cs="宋体" w:hint="eastAsia"/>
                <w:sz w:val="24"/>
              </w:rPr>
              <w:t>年使用期限。同时还提供了包装验证报告，通过振动试验、碰撞试验及完整包装条件下的运输试验等，证明产品包装完整性及包装防护有效性。</w:t>
            </w:r>
          </w:p>
          <w:p w:rsidR="00B450DA" w:rsidRPr="006B22E8" w:rsidRDefault="00B450DA" w:rsidP="00B450DA">
            <w:pPr>
              <w:spacing w:line="360" w:lineRule="auto"/>
              <w:rPr>
                <w:rFonts w:ascii="宋体" w:hAnsi="宋体" w:cs="宋体"/>
                <w:sz w:val="24"/>
              </w:rPr>
            </w:pPr>
            <w:r w:rsidRPr="006B22E8">
              <w:rPr>
                <w:rFonts w:ascii="宋体" w:hAnsi="宋体" w:cs="宋体" w:hint="eastAsia"/>
                <w:sz w:val="24"/>
              </w:rPr>
              <w:t>（五）动物研究</w:t>
            </w:r>
          </w:p>
          <w:p w:rsidR="00B450DA" w:rsidRPr="006B22E8" w:rsidRDefault="00B450DA" w:rsidP="003A72B4">
            <w:pPr>
              <w:spacing w:line="360" w:lineRule="auto"/>
              <w:ind w:firstLineChars="200" w:firstLine="480"/>
              <w:rPr>
                <w:rFonts w:ascii="宋体" w:hAnsi="宋体" w:cs="宋体"/>
                <w:sz w:val="24"/>
              </w:rPr>
            </w:pPr>
            <w:r w:rsidRPr="006B22E8">
              <w:rPr>
                <w:rFonts w:ascii="宋体" w:hAnsi="宋体" w:cs="宋体" w:hint="eastAsia"/>
                <w:sz w:val="24"/>
              </w:rPr>
              <w:lastRenderedPageBreak/>
              <w:t>不适用。</w:t>
            </w:r>
          </w:p>
          <w:p w:rsidR="00B450DA" w:rsidRPr="006B22E8" w:rsidRDefault="00B450DA" w:rsidP="00B450DA">
            <w:pPr>
              <w:spacing w:line="360" w:lineRule="auto"/>
              <w:rPr>
                <w:rFonts w:ascii="宋体" w:hAnsi="宋体" w:cs="宋体"/>
                <w:sz w:val="24"/>
              </w:rPr>
            </w:pPr>
            <w:r w:rsidRPr="006B22E8">
              <w:rPr>
                <w:rFonts w:ascii="宋体" w:hAnsi="宋体" w:cs="宋体" w:hint="eastAsia"/>
                <w:sz w:val="24"/>
              </w:rPr>
              <w:t>（六）软件研究</w:t>
            </w:r>
          </w:p>
          <w:p w:rsidR="00B450DA" w:rsidRPr="006B22E8" w:rsidRDefault="00B450DA" w:rsidP="003A72B4">
            <w:pPr>
              <w:spacing w:line="360" w:lineRule="auto"/>
              <w:ind w:firstLineChars="200" w:firstLine="480"/>
              <w:rPr>
                <w:rFonts w:ascii="宋体" w:hAnsi="宋体" w:cs="宋体"/>
                <w:sz w:val="24"/>
              </w:rPr>
            </w:pPr>
            <w:r w:rsidRPr="006B22E8">
              <w:rPr>
                <w:rFonts w:ascii="宋体" w:hAnsi="宋体" w:cs="宋体" w:hint="eastAsia"/>
                <w:sz w:val="24"/>
              </w:rPr>
              <w:t>软件安全性级别为 B 级。申请人提供了《软件描述文档》和《网络安全描述文档》。</w:t>
            </w:r>
            <w:r w:rsidRPr="00D12328">
              <w:rPr>
                <w:rFonts w:ascii="宋体" w:hAnsi="宋体" w:cs="宋体" w:hint="eastAsia"/>
                <w:sz w:val="24"/>
              </w:rPr>
              <w:t>《软件描述文档》包括开发概述风险管理、需求规范、生存周期、验证与确认测试等资料，表明该产品软件设计开发过程规范可控，剩余风险均可接受。《网络安全描述文档》表明该产品在开发过程中考虑了网络安全相关的风险，风险可控。</w:t>
            </w:r>
          </w:p>
          <w:p w:rsidR="002A7C15" w:rsidRPr="006B22E8" w:rsidRDefault="002A7C15" w:rsidP="002A7C15">
            <w:pPr>
              <w:spacing w:line="360" w:lineRule="auto"/>
              <w:rPr>
                <w:rFonts w:ascii="宋体" w:hAnsi="宋体" w:cs="宋体"/>
                <w:sz w:val="24"/>
              </w:rPr>
            </w:pPr>
            <w:r w:rsidRPr="006B22E8">
              <w:rPr>
                <w:rFonts w:ascii="宋体" w:hAnsi="宋体" w:cs="宋体" w:hint="eastAsia"/>
                <w:sz w:val="24"/>
              </w:rPr>
              <w:t>二、关于有效性</w:t>
            </w:r>
          </w:p>
          <w:p w:rsidR="00F0028F" w:rsidRDefault="00F0028F" w:rsidP="00F0028F">
            <w:pPr>
              <w:spacing w:line="360" w:lineRule="auto"/>
              <w:rPr>
                <w:rFonts w:ascii="宋体" w:hAnsi="宋体"/>
                <w:sz w:val="24"/>
              </w:rPr>
            </w:pPr>
            <w:r>
              <w:rPr>
                <w:rFonts w:ascii="宋体" w:hAnsi="宋体" w:cs="宋体" w:hint="eastAsia"/>
                <w:sz w:val="24"/>
              </w:rPr>
              <w:t>（一）</w:t>
            </w:r>
            <w:r>
              <w:rPr>
                <w:rFonts w:ascii="宋体" w:hAnsi="宋体" w:hint="eastAsia"/>
                <w:sz w:val="24"/>
              </w:rPr>
              <w:t>试验机构</w:t>
            </w:r>
          </w:p>
          <w:p w:rsidR="00F0028F" w:rsidRDefault="00F0028F" w:rsidP="00F0028F">
            <w:pPr>
              <w:spacing w:line="360" w:lineRule="auto"/>
              <w:ind w:firstLineChars="200" w:firstLine="480"/>
              <w:rPr>
                <w:rFonts w:ascii="宋体" w:hAnsi="宋体" w:cs="宋体"/>
                <w:sz w:val="24"/>
              </w:rPr>
            </w:pPr>
            <w:r w:rsidRPr="00052433">
              <w:rPr>
                <w:rFonts w:ascii="宋体" w:hAnsi="宋体" w:cs="宋体" w:hint="eastAsia"/>
                <w:sz w:val="24"/>
              </w:rPr>
              <w:t>按照《医疗器械临床试验质量管理规范》的要求进行了临床试验，临床试验机构为：</w:t>
            </w:r>
            <w:r w:rsidRPr="000C0542">
              <w:rPr>
                <w:rFonts w:ascii="宋体" w:hAnsi="宋体" w:hint="eastAsia"/>
                <w:sz w:val="24"/>
              </w:rPr>
              <w:t>首都医科大学宣武医院、首都医科大学附属北京天坛医院，其中首都医科大学宣武医院为牵头单位。</w:t>
            </w:r>
          </w:p>
          <w:p w:rsidR="00F0028F" w:rsidRDefault="00F0028F" w:rsidP="00F0028F">
            <w:pPr>
              <w:spacing w:line="360" w:lineRule="auto"/>
              <w:rPr>
                <w:rFonts w:ascii="宋体" w:hAnsi="宋体" w:cs="宋体"/>
                <w:sz w:val="24"/>
              </w:rPr>
            </w:pPr>
            <w:r>
              <w:rPr>
                <w:rFonts w:ascii="宋体" w:hAnsi="宋体" w:cs="宋体" w:hint="eastAsia"/>
                <w:sz w:val="24"/>
              </w:rPr>
              <w:t>（二）试验方法</w:t>
            </w:r>
          </w:p>
          <w:p w:rsidR="00F0028F" w:rsidRDefault="000C0542" w:rsidP="000C0542">
            <w:pPr>
              <w:spacing w:line="360" w:lineRule="auto"/>
              <w:ind w:firstLineChars="200" w:firstLine="480"/>
              <w:rPr>
                <w:rFonts w:ascii="宋体" w:hAnsi="宋体"/>
                <w:sz w:val="24"/>
              </w:rPr>
            </w:pPr>
            <w:r w:rsidRPr="000C0542">
              <w:rPr>
                <w:rFonts w:ascii="宋体" w:hAnsi="宋体" w:hint="eastAsia"/>
                <w:sz w:val="24"/>
              </w:rPr>
              <w:t>该临床试验通过调整健康成年志愿者吸入氧浓度得到一系列的血氧饱和度的稳定阶段，采用两种对照方法分别进行指脉血氧饱和度、组织血氧饱和度和脑血氧饱和度的测量。将该产品测量值与对照组测量值进行统计分析，有效性主要评价指标为指脉氧饱和度、脑血氧饱和度及组织血氧饱和度测值一致性。次要评价指标为仪器主要性能合格率。安全性评价指标为产品有关的不良事件发生率。</w:t>
            </w:r>
          </w:p>
          <w:p w:rsidR="00F0028F" w:rsidRDefault="00F0028F" w:rsidP="00F0028F">
            <w:pPr>
              <w:spacing w:line="360" w:lineRule="auto"/>
              <w:rPr>
                <w:rFonts w:ascii="宋体" w:hAnsi="宋体" w:cs="宋体"/>
                <w:sz w:val="24"/>
              </w:rPr>
            </w:pPr>
            <w:r>
              <w:rPr>
                <w:rFonts w:ascii="宋体" w:hAnsi="宋体" w:cs="宋体" w:hint="eastAsia"/>
                <w:sz w:val="24"/>
              </w:rPr>
              <w:t>（三）</w:t>
            </w:r>
            <w:r w:rsidRPr="006B22E8">
              <w:rPr>
                <w:rFonts w:ascii="宋体" w:hAnsi="宋体" w:cs="宋体" w:hint="eastAsia"/>
                <w:sz w:val="24"/>
              </w:rPr>
              <w:t>试验结果</w:t>
            </w:r>
          </w:p>
          <w:p w:rsidR="006D445E" w:rsidRDefault="000C0542" w:rsidP="002C6573">
            <w:pPr>
              <w:spacing w:line="360" w:lineRule="auto"/>
              <w:ind w:firstLineChars="150" w:firstLine="360"/>
              <w:rPr>
                <w:rFonts w:ascii="宋体" w:hAnsi="宋体" w:hint="eastAsia"/>
                <w:sz w:val="24"/>
              </w:rPr>
            </w:pPr>
            <w:r w:rsidRPr="000C0542">
              <w:rPr>
                <w:rFonts w:ascii="宋体" w:hAnsi="宋体" w:hint="eastAsia"/>
                <w:sz w:val="24"/>
              </w:rPr>
              <w:t>试验结果表明该产品的测量结果与对照组测量结果具有较好的一致性，临床试验结论为无创脑血氧监护仪在临床应用的有效性及安全性得到证实，符合临床要求。</w:t>
            </w:r>
          </w:p>
          <w:p w:rsidR="00E52429" w:rsidRDefault="00E52429" w:rsidP="00E52429">
            <w:pPr>
              <w:spacing w:line="360" w:lineRule="auto"/>
              <w:ind w:firstLineChars="50" w:firstLine="120"/>
              <w:rPr>
                <w:rFonts w:ascii="宋体" w:hAnsi="宋体" w:hint="eastAsia"/>
                <w:sz w:val="24"/>
              </w:rPr>
            </w:pPr>
            <w:r>
              <w:rPr>
                <w:rFonts w:ascii="宋体" w:hAnsi="宋体" w:hint="eastAsia"/>
                <w:sz w:val="24"/>
              </w:rPr>
              <w:t>(四)禁忌症</w:t>
            </w:r>
          </w:p>
          <w:p w:rsidR="002C6573" w:rsidRPr="00E44438" w:rsidRDefault="002C6573" w:rsidP="002C6573">
            <w:pPr>
              <w:spacing w:line="360" w:lineRule="auto"/>
              <w:ind w:firstLineChars="150" w:firstLine="360"/>
              <w:rPr>
                <w:rFonts w:ascii="宋体" w:hAnsi="宋体"/>
                <w:sz w:val="24"/>
              </w:rPr>
            </w:pPr>
            <w:r w:rsidRPr="002C6573">
              <w:rPr>
                <w:rFonts w:ascii="宋体" w:hAnsi="宋体" w:hint="eastAsia"/>
                <w:sz w:val="24"/>
              </w:rPr>
              <w:t>不得将探头用于皮肤不能过多接触或对探头贴片过敏的病人。禁止将一次性探头（脑血氧探头和组织血氧探头）重复使用。至少每8小时应对探头进行一次检查，以确保有足够的附着力、良好的流通和完好的皮肤。如果循环条件或皮肤状况已恶化，则应将探头移至其他部位。不要将探头贴在发育不全、不成熟、不安全或处于治疗期间的皮肤上。</w:t>
            </w:r>
          </w:p>
          <w:p w:rsidR="000C0542" w:rsidRPr="006B22E8" w:rsidRDefault="000C0542" w:rsidP="000C0542">
            <w:pPr>
              <w:spacing w:line="360" w:lineRule="auto"/>
              <w:rPr>
                <w:rFonts w:ascii="宋体" w:hAnsi="宋体" w:cs="宋体"/>
                <w:sz w:val="24"/>
              </w:rPr>
            </w:pPr>
            <w:r w:rsidRPr="006B22E8">
              <w:rPr>
                <w:rFonts w:ascii="宋体" w:hAnsi="宋体" w:cs="宋体" w:hint="eastAsia"/>
                <w:sz w:val="24"/>
              </w:rPr>
              <w:t>三、关于风险管理</w:t>
            </w:r>
          </w:p>
          <w:p w:rsidR="00442EB2" w:rsidRPr="00640DB8" w:rsidRDefault="000C0542" w:rsidP="00640DB8">
            <w:pPr>
              <w:spacing w:line="360" w:lineRule="auto"/>
              <w:ind w:firstLineChars="200" w:firstLine="480"/>
              <w:rPr>
                <w:rFonts w:ascii="宋体" w:hAnsi="宋体" w:cs="宋体"/>
                <w:sz w:val="24"/>
              </w:rPr>
            </w:pPr>
            <w:r w:rsidRPr="006B22E8">
              <w:rPr>
                <w:rFonts w:ascii="宋体" w:hAnsi="宋体" w:cs="宋体" w:hint="eastAsia"/>
                <w:sz w:val="24"/>
              </w:rPr>
              <w:lastRenderedPageBreak/>
              <w:t>申请人根据YY/T0316-2016《医疗器械风险管理对医疗器械的应用》及其内部质量管理体系规定执行风险管理相关活动，对目前已知及可预测风险采取了风险控制措施，经综合评价，认为该产品在正常使用条件下，可达到预期性能；与预期受益相比较，综合剩余风险可接受。</w:t>
            </w:r>
          </w:p>
        </w:tc>
      </w:tr>
    </w:tbl>
    <w:p w:rsidR="00EB2B6C" w:rsidRDefault="00EB2B6C" w:rsidP="008E63D5">
      <w:pPr>
        <w:jc w:val="center"/>
        <w:rPr>
          <w:rFonts w:eastAsia="方正小标宋简体"/>
          <w:spacing w:val="30"/>
          <w:sz w:val="36"/>
        </w:rPr>
      </w:pPr>
    </w:p>
    <w:sectPr w:rsidR="00EB2B6C" w:rsidSect="00A52D66">
      <w:headerReference w:type="default" r:id="rId7"/>
      <w:pgSz w:w="11906" w:h="16838" w:code="9"/>
      <w:pgMar w:top="1091"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734" w:rsidRDefault="002C2734">
      <w:r>
        <w:separator/>
      </w:r>
    </w:p>
  </w:endnote>
  <w:endnote w:type="continuationSeparator" w:id="1">
    <w:p w:rsidR="002C2734" w:rsidRDefault="002C2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734" w:rsidRDefault="002C2734">
      <w:r>
        <w:separator/>
      </w:r>
    </w:p>
  </w:footnote>
  <w:footnote w:type="continuationSeparator" w:id="1">
    <w:p w:rsidR="002C2734" w:rsidRDefault="002C2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70" w:rsidRPr="007A5ED7" w:rsidRDefault="00BA0570" w:rsidP="00B33F59">
    <w:pPr>
      <w:wordWrap w:val="0"/>
      <w:jc w:val="right"/>
      <w:rPr>
        <w:rFonts w:ascii="宋体" w:hAnsi="宋体" w:cs="宋体"/>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C1E5A"/>
    <w:multiLevelType w:val="hybridMultilevel"/>
    <w:tmpl w:val="F04AF8E0"/>
    <w:lvl w:ilvl="0" w:tplc="5A24AF54">
      <w:start w:val="1"/>
      <w:numFmt w:val="decimal"/>
      <w:lvlText w:val="%1、"/>
      <w:lvlJc w:val="left"/>
      <w:pPr>
        <w:ind w:left="1550" w:hanging="990"/>
      </w:pPr>
      <w:rPr>
        <w:rFonts w:hint="default"/>
      </w:rPr>
    </w:lvl>
    <w:lvl w:ilvl="1" w:tplc="DD0257DC">
      <w:start w:val="1"/>
      <w:numFmt w:val="decimal"/>
      <w:lvlText w:val="%2)"/>
      <w:lvlJc w:val="left"/>
      <w:pPr>
        <w:ind w:left="198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79CE2742"/>
    <w:multiLevelType w:val="hybridMultilevel"/>
    <w:tmpl w:val="F04AF8E0"/>
    <w:lvl w:ilvl="0" w:tplc="5A24AF54">
      <w:start w:val="1"/>
      <w:numFmt w:val="decimal"/>
      <w:lvlText w:val="%1、"/>
      <w:lvlJc w:val="left"/>
      <w:pPr>
        <w:ind w:left="1550" w:hanging="990"/>
      </w:pPr>
      <w:rPr>
        <w:rFonts w:hint="default"/>
      </w:rPr>
    </w:lvl>
    <w:lvl w:ilvl="1" w:tplc="DD0257DC">
      <w:start w:val="1"/>
      <w:numFmt w:val="decimal"/>
      <w:lvlText w:val="%2)"/>
      <w:lvlJc w:val="left"/>
      <w:pPr>
        <w:ind w:left="198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6569"/>
    <w:rsid w:val="0000512C"/>
    <w:rsid w:val="00011E2E"/>
    <w:rsid w:val="00033D12"/>
    <w:rsid w:val="00071763"/>
    <w:rsid w:val="00080BF8"/>
    <w:rsid w:val="000C0542"/>
    <w:rsid w:val="000E3987"/>
    <w:rsid w:val="00124A5D"/>
    <w:rsid w:val="00151307"/>
    <w:rsid w:val="00157088"/>
    <w:rsid w:val="00163F66"/>
    <w:rsid w:val="00166306"/>
    <w:rsid w:val="00175D6E"/>
    <w:rsid w:val="001B2E76"/>
    <w:rsid w:val="001D459B"/>
    <w:rsid w:val="001E2F52"/>
    <w:rsid w:val="00203D6D"/>
    <w:rsid w:val="002215E8"/>
    <w:rsid w:val="00237D5C"/>
    <w:rsid w:val="00241A67"/>
    <w:rsid w:val="002611A6"/>
    <w:rsid w:val="002A7C15"/>
    <w:rsid w:val="002A7CB6"/>
    <w:rsid w:val="002B3B43"/>
    <w:rsid w:val="002C2734"/>
    <w:rsid w:val="002C6573"/>
    <w:rsid w:val="00303D71"/>
    <w:rsid w:val="0030578E"/>
    <w:rsid w:val="00307430"/>
    <w:rsid w:val="003124CE"/>
    <w:rsid w:val="0032301E"/>
    <w:rsid w:val="00371C69"/>
    <w:rsid w:val="00372694"/>
    <w:rsid w:val="003821B9"/>
    <w:rsid w:val="003957B1"/>
    <w:rsid w:val="003A0A55"/>
    <w:rsid w:val="003A72B4"/>
    <w:rsid w:val="003F01DB"/>
    <w:rsid w:val="004002F6"/>
    <w:rsid w:val="00416A45"/>
    <w:rsid w:val="004170A1"/>
    <w:rsid w:val="00417C17"/>
    <w:rsid w:val="004329F4"/>
    <w:rsid w:val="00442EB2"/>
    <w:rsid w:val="0045128A"/>
    <w:rsid w:val="00470298"/>
    <w:rsid w:val="004814A6"/>
    <w:rsid w:val="004C01B5"/>
    <w:rsid w:val="00506ABD"/>
    <w:rsid w:val="0050747A"/>
    <w:rsid w:val="0050769E"/>
    <w:rsid w:val="0052206E"/>
    <w:rsid w:val="005222EB"/>
    <w:rsid w:val="00543B22"/>
    <w:rsid w:val="00552C1F"/>
    <w:rsid w:val="00576F8A"/>
    <w:rsid w:val="005955CC"/>
    <w:rsid w:val="005A5A0A"/>
    <w:rsid w:val="005B4940"/>
    <w:rsid w:val="005E3BD2"/>
    <w:rsid w:val="005F06DA"/>
    <w:rsid w:val="00604F09"/>
    <w:rsid w:val="0062108C"/>
    <w:rsid w:val="006306F2"/>
    <w:rsid w:val="00631317"/>
    <w:rsid w:val="00634152"/>
    <w:rsid w:val="00635C5D"/>
    <w:rsid w:val="00640DB8"/>
    <w:rsid w:val="00643271"/>
    <w:rsid w:val="006456C8"/>
    <w:rsid w:val="0065624B"/>
    <w:rsid w:val="00665290"/>
    <w:rsid w:val="00681809"/>
    <w:rsid w:val="00694C00"/>
    <w:rsid w:val="0069595F"/>
    <w:rsid w:val="0069632D"/>
    <w:rsid w:val="006A0F4F"/>
    <w:rsid w:val="006B1B48"/>
    <w:rsid w:val="006B667F"/>
    <w:rsid w:val="006D445E"/>
    <w:rsid w:val="00704613"/>
    <w:rsid w:val="00706484"/>
    <w:rsid w:val="00715DF4"/>
    <w:rsid w:val="00731936"/>
    <w:rsid w:val="00737B57"/>
    <w:rsid w:val="0075137B"/>
    <w:rsid w:val="0075304F"/>
    <w:rsid w:val="00756012"/>
    <w:rsid w:val="007646A1"/>
    <w:rsid w:val="0076685E"/>
    <w:rsid w:val="007B2F63"/>
    <w:rsid w:val="007B5A39"/>
    <w:rsid w:val="007F6F50"/>
    <w:rsid w:val="00801332"/>
    <w:rsid w:val="00812943"/>
    <w:rsid w:val="008130BE"/>
    <w:rsid w:val="00833585"/>
    <w:rsid w:val="008374B8"/>
    <w:rsid w:val="008507CC"/>
    <w:rsid w:val="008948FE"/>
    <w:rsid w:val="008A04C4"/>
    <w:rsid w:val="008B074A"/>
    <w:rsid w:val="008C3488"/>
    <w:rsid w:val="008C6BF4"/>
    <w:rsid w:val="008E63D5"/>
    <w:rsid w:val="008E6569"/>
    <w:rsid w:val="00901B5E"/>
    <w:rsid w:val="009058E4"/>
    <w:rsid w:val="0090598E"/>
    <w:rsid w:val="00911D35"/>
    <w:rsid w:val="00936AF6"/>
    <w:rsid w:val="00947536"/>
    <w:rsid w:val="00963DC8"/>
    <w:rsid w:val="009745F8"/>
    <w:rsid w:val="00976FD3"/>
    <w:rsid w:val="009C42A2"/>
    <w:rsid w:val="00A14B36"/>
    <w:rsid w:val="00A16F00"/>
    <w:rsid w:val="00A304FD"/>
    <w:rsid w:val="00A30E49"/>
    <w:rsid w:val="00A31B70"/>
    <w:rsid w:val="00A3224B"/>
    <w:rsid w:val="00A34B09"/>
    <w:rsid w:val="00A40193"/>
    <w:rsid w:val="00A40575"/>
    <w:rsid w:val="00A52D66"/>
    <w:rsid w:val="00A937DF"/>
    <w:rsid w:val="00AE7530"/>
    <w:rsid w:val="00AF2AE9"/>
    <w:rsid w:val="00B01C4B"/>
    <w:rsid w:val="00B123E0"/>
    <w:rsid w:val="00B16DC8"/>
    <w:rsid w:val="00B33F59"/>
    <w:rsid w:val="00B450DA"/>
    <w:rsid w:val="00B54964"/>
    <w:rsid w:val="00B559E9"/>
    <w:rsid w:val="00B56AC2"/>
    <w:rsid w:val="00B66538"/>
    <w:rsid w:val="00B92A92"/>
    <w:rsid w:val="00BA0570"/>
    <w:rsid w:val="00BB3AC4"/>
    <w:rsid w:val="00BD5424"/>
    <w:rsid w:val="00BD7B5C"/>
    <w:rsid w:val="00BE65DE"/>
    <w:rsid w:val="00BE6ECD"/>
    <w:rsid w:val="00BF47C4"/>
    <w:rsid w:val="00C06EE3"/>
    <w:rsid w:val="00C24CDE"/>
    <w:rsid w:val="00C76A47"/>
    <w:rsid w:val="00C8639E"/>
    <w:rsid w:val="00CA4191"/>
    <w:rsid w:val="00CB0972"/>
    <w:rsid w:val="00CD16DE"/>
    <w:rsid w:val="00CD28AD"/>
    <w:rsid w:val="00CF4478"/>
    <w:rsid w:val="00D135F5"/>
    <w:rsid w:val="00D24F11"/>
    <w:rsid w:val="00D61827"/>
    <w:rsid w:val="00D77F8A"/>
    <w:rsid w:val="00DA18F2"/>
    <w:rsid w:val="00DC3907"/>
    <w:rsid w:val="00DD2186"/>
    <w:rsid w:val="00DE2921"/>
    <w:rsid w:val="00DE7E58"/>
    <w:rsid w:val="00DF68EC"/>
    <w:rsid w:val="00E007F3"/>
    <w:rsid w:val="00E15BE3"/>
    <w:rsid w:val="00E16395"/>
    <w:rsid w:val="00E20BD8"/>
    <w:rsid w:val="00E279DB"/>
    <w:rsid w:val="00E35ADE"/>
    <w:rsid w:val="00E35EEF"/>
    <w:rsid w:val="00E44438"/>
    <w:rsid w:val="00E44AB3"/>
    <w:rsid w:val="00E50F0F"/>
    <w:rsid w:val="00E52429"/>
    <w:rsid w:val="00E632DD"/>
    <w:rsid w:val="00E63CBD"/>
    <w:rsid w:val="00E97B7F"/>
    <w:rsid w:val="00EA2FC1"/>
    <w:rsid w:val="00EA7127"/>
    <w:rsid w:val="00EB2B6C"/>
    <w:rsid w:val="00EC65C6"/>
    <w:rsid w:val="00F0028F"/>
    <w:rsid w:val="00F01294"/>
    <w:rsid w:val="00F12DE5"/>
    <w:rsid w:val="00F20347"/>
    <w:rsid w:val="00F32647"/>
    <w:rsid w:val="00F336D5"/>
    <w:rsid w:val="00F36265"/>
    <w:rsid w:val="00F50E9A"/>
    <w:rsid w:val="00F56ED3"/>
    <w:rsid w:val="00F7139E"/>
    <w:rsid w:val="00F84A31"/>
    <w:rsid w:val="00F870AB"/>
    <w:rsid w:val="00F96E89"/>
    <w:rsid w:val="00FA6BC2"/>
    <w:rsid w:val="00FB27E6"/>
    <w:rsid w:val="00FB678C"/>
    <w:rsid w:val="00FC0C5D"/>
    <w:rsid w:val="00FC1ABD"/>
    <w:rsid w:val="00FD38BF"/>
    <w:rsid w:val="00FE65C5"/>
    <w:rsid w:val="00FE6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D66"/>
    <w:pPr>
      <w:widowControl w:val="0"/>
      <w:jc w:val="both"/>
    </w:pPr>
    <w:rPr>
      <w:kern w:val="2"/>
      <w:sz w:val="21"/>
      <w:szCs w:val="24"/>
    </w:rPr>
  </w:style>
  <w:style w:type="paragraph" w:styleId="1">
    <w:name w:val="heading 1"/>
    <w:basedOn w:val="a"/>
    <w:next w:val="a"/>
    <w:link w:val="1Char"/>
    <w:uiPriority w:val="9"/>
    <w:qFormat/>
    <w:rsid w:val="008C6BF4"/>
    <w:pPr>
      <w:keepNext/>
      <w:keepLines/>
      <w:spacing w:before="100" w:after="90" w:line="360" w:lineRule="auto"/>
      <w:ind w:firstLineChars="200" w:firstLine="200"/>
      <w:outlineLvl w:val="0"/>
    </w:pPr>
    <w:rPr>
      <w:rFonts w:ascii="宋体" w:hAnsi="宋体"/>
      <w:b/>
      <w:bCs/>
      <w:kern w:val="44"/>
      <w:sz w:val="32"/>
      <w:szCs w:val="44"/>
    </w:rPr>
  </w:style>
  <w:style w:type="paragraph" w:styleId="2">
    <w:name w:val="heading 2"/>
    <w:basedOn w:val="a"/>
    <w:next w:val="a"/>
    <w:link w:val="2Char"/>
    <w:uiPriority w:val="9"/>
    <w:unhideWhenUsed/>
    <w:qFormat/>
    <w:rsid w:val="008C6BF4"/>
    <w:pPr>
      <w:keepNext/>
      <w:keepLines/>
      <w:spacing w:line="360" w:lineRule="auto"/>
      <w:ind w:firstLineChars="200" w:firstLine="200"/>
      <w:outlineLvl w:val="1"/>
    </w:pPr>
    <w:rPr>
      <w:rFonts w:ascii="宋体" w:hAnsi="宋体"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52D66"/>
    <w:pPr>
      <w:pBdr>
        <w:bottom w:val="single" w:sz="6" w:space="1" w:color="auto"/>
      </w:pBdr>
      <w:tabs>
        <w:tab w:val="center" w:pos="4153"/>
        <w:tab w:val="right" w:pos="8306"/>
      </w:tabs>
      <w:snapToGrid w:val="0"/>
      <w:jc w:val="center"/>
    </w:pPr>
    <w:rPr>
      <w:sz w:val="18"/>
      <w:szCs w:val="18"/>
    </w:rPr>
  </w:style>
  <w:style w:type="paragraph" w:styleId="a4">
    <w:name w:val="footer"/>
    <w:basedOn w:val="a"/>
    <w:rsid w:val="00A52D66"/>
    <w:pPr>
      <w:tabs>
        <w:tab w:val="center" w:pos="4153"/>
        <w:tab w:val="right" w:pos="8306"/>
      </w:tabs>
      <w:snapToGrid w:val="0"/>
      <w:jc w:val="left"/>
    </w:pPr>
    <w:rPr>
      <w:sz w:val="18"/>
      <w:szCs w:val="18"/>
    </w:rPr>
  </w:style>
  <w:style w:type="character" w:styleId="a5">
    <w:name w:val="annotation reference"/>
    <w:basedOn w:val="a0"/>
    <w:rsid w:val="0032301E"/>
    <w:rPr>
      <w:sz w:val="21"/>
      <w:szCs w:val="21"/>
    </w:rPr>
  </w:style>
  <w:style w:type="paragraph" w:styleId="a6">
    <w:name w:val="annotation text"/>
    <w:basedOn w:val="a"/>
    <w:link w:val="Char"/>
    <w:rsid w:val="0032301E"/>
    <w:pPr>
      <w:jc w:val="left"/>
    </w:pPr>
  </w:style>
  <w:style w:type="character" w:customStyle="1" w:styleId="Char">
    <w:name w:val="批注文字 Char"/>
    <w:basedOn w:val="a0"/>
    <w:link w:val="a6"/>
    <w:rsid w:val="0032301E"/>
    <w:rPr>
      <w:kern w:val="2"/>
      <w:sz w:val="21"/>
      <w:szCs w:val="24"/>
    </w:rPr>
  </w:style>
  <w:style w:type="paragraph" w:styleId="a7">
    <w:name w:val="annotation subject"/>
    <w:basedOn w:val="a6"/>
    <w:next w:val="a6"/>
    <w:link w:val="Char0"/>
    <w:rsid w:val="0032301E"/>
    <w:rPr>
      <w:b/>
      <w:bCs/>
    </w:rPr>
  </w:style>
  <w:style w:type="character" w:customStyle="1" w:styleId="Char0">
    <w:name w:val="批注主题 Char"/>
    <w:basedOn w:val="Char"/>
    <w:link w:val="a7"/>
    <w:rsid w:val="0032301E"/>
    <w:rPr>
      <w:b/>
      <w:bCs/>
      <w:kern w:val="2"/>
      <w:sz w:val="21"/>
      <w:szCs w:val="24"/>
    </w:rPr>
  </w:style>
  <w:style w:type="paragraph" w:styleId="a8">
    <w:name w:val="Balloon Text"/>
    <w:basedOn w:val="a"/>
    <w:link w:val="Char1"/>
    <w:rsid w:val="0032301E"/>
    <w:rPr>
      <w:sz w:val="18"/>
      <w:szCs w:val="18"/>
    </w:rPr>
  </w:style>
  <w:style w:type="character" w:customStyle="1" w:styleId="Char1">
    <w:name w:val="批注框文本 Char"/>
    <w:basedOn w:val="a0"/>
    <w:link w:val="a8"/>
    <w:rsid w:val="0032301E"/>
    <w:rPr>
      <w:kern w:val="2"/>
      <w:sz w:val="18"/>
      <w:szCs w:val="18"/>
    </w:rPr>
  </w:style>
  <w:style w:type="character" w:customStyle="1" w:styleId="1Char">
    <w:name w:val="标题 1 Char"/>
    <w:basedOn w:val="a0"/>
    <w:link w:val="1"/>
    <w:uiPriority w:val="9"/>
    <w:qFormat/>
    <w:rsid w:val="008C6BF4"/>
    <w:rPr>
      <w:rFonts w:ascii="宋体" w:hAnsi="宋体"/>
      <w:b/>
      <w:bCs/>
      <w:kern w:val="44"/>
      <w:sz w:val="32"/>
      <w:szCs w:val="44"/>
    </w:rPr>
  </w:style>
  <w:style w:type="character" w:customStyle="1" w:styleId="2Char">
    <w:name w:val="标题 2 Char"/>
    <w:basedOn w:val="a0"/>
    <w:link w:val="2"/>
    <w:uiPriority w:val="9"/>
    <w:rsid w:val="008C6BF4"/>
    <w:rPr>
      <w:rFonts w:ascii="宋体" w:hAnsi="宋体" w:cstheme="majorBidi"/>
      <w:b/>
      <w:bCs/>
      <w:kern w:val="2"/>
      <w:sz w:val="30"/>
      <w:szCs w:val="32"/>
    </w:rPr>
  </w:style>
</w:styles>
</file>

<file path=word/webSettings.xml><?xml version="1.0" encoding="utf-8"?>
<w:webSettings xmlns:r="http://schemas.openxmlformats.org/officeDocument/2006/relationships" xmlns:w="http://schemas.openxmlformats.org/wordprocessingml/2006/main">
  <w:divs>
    <w:div w:id="827213232">
      <w:bodyDiv w:val="1"/>
      <w:marLeft w:val="0"/>
      <w:marRight w:val="0"/>
      <w:marTop w:val="0"/>
      <w:marBottom w:val="0"/>
      <w:divBdr>
        <w:top w:val="none" w:sz="0" w:space="0" w:color="auto"/>
        <w:left w:val="none" w:sz="0" w:space="0" w:color="auto"/>
        <w:bottom w:val="none" w:sz="0" w:space="0" w:color="auto"/>
        <w:right w:val="none" w:sz="0" w:space="0" w:color="auto"/>
      </w:divBdr>
    </w:div>
    <w:div w:id="1302266588">
      <w:bodyDiv w:val="1"/>
      <w:marLeft w:val="0"/>
      <w:marRight w:val="0"/>
      <w:marTop w:val="0"/>
      <w:marBottom w:val="0"/>
      <w:divBdr>
        <w:top w:val="none" w:sz="0" w:space="0" w:color="auto"/>
        <w:left w:val="none" w:sz="0" w:space="0" w:color="auto"/>
        <w:bottom w:val="none" w:sz="0" w:space="0" w:color="auto"/>
        <w:right w:val="none" w:sz="0" w:space="0" w:color="auto"/>
      </w:divBdr>
    </w:div>
    <w:div w:id="145444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391</Words>
  <Characters>2231</Characters>
  <Application>Microsoft Office Word</Application>
  <DocSecurity>0</DocSecurity>
  <Lines>18</Lines>
  <Paragraphs>5</Paragraphs>
  <ScaleCrop>false</ScaleCrop>
  <Company>BJDA</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标准审查：</dc:title>
  <dc:creator>wangxin</dc:creator>
  <cp:lastModifiedBy>li</cp:lastModifiedBy>
  <cp:revision>20</cp:revision>
  <cp:lastPrinted>2010-01-11T04:31:00Z</cp:lastPrinted>
  <dcterms:created xsi:type="dcterms:W3CDTF">2020-10-15T06:49:00Z</dcterms:created>
  <dcterms:modified xsi:type="dcterms:W3CDTF">2020-10-22T07:48:00Z</dcterms:modified>
</cp:coreProperties>
</file>