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rPr>
          <w:rFonts w:hint="eastAsia"/>
        </w:rPr>
      </w:pPr>
      <w:r>
        <w:rPr>
          <w:rFonts w:hint="eastAsia"/>
        </w:rPr>
        <w:t>工业和信息化部办公厅 国家药监局综合司</w:t>
      </w:r>
    </w:p>
    <w:p>
      <w:pPr>
        <w:pStyle w:val="4"/>
        <w:rPr>
          <w:rFonts w:hint="eastAsia"/>
        </w:rPr>
      </w:pPr>
      <w:r>
        <w:rPr>
          <w:rFonts w:hint="eastAsia"/>
        </w:rPr>
        <w:t>关于组织开展生物医用材料创新任务揭榜挂帅（第二批）工作的通知</w:t>
      </w:r>
    </w:p>
    <w:p>
      <w:pPr>
        <w:pStyle w:val="6"/>
        <w:ind w:left="0" w:leftChars="0" w:firstLine="0" w:firstLineChars="0"/>
        <w:jc w:val="center"/>
        <w:rPr>
          <w:rFonts w:hint="eastAsia"/>
        </w:rPr>
      </w:pPr>
      <w:r>
        <w:rPr>
          <w:rFonts w:hint="eastAsia"/>
        </w:rPr>
        <w:t>工信厅联原函〔2025〕38号</w:t>
      </w:r>
    </w:p>
    <w:p>
      <w:pPr>
        <w:rPr>
          <w:rFonts w:hint="eastAsia"/>
        </w:rPr>
      </w:pPr>
    </w:p>
    <w:p>
      <w:pPr>
        <w:ind w:left="0" w:leftChars="0" w:firstLine="0" w:firstLineChars="0"/>
        <w:rPr>
          <w:rFonts w:hint="eastAsia"/>
        </w:rPr>
      </w:pPr>
      <w:r>
        <w:rPr>
          <w:rFonts w:hint="eastAsia"/>
        </w:rPr>
        <w:t>各省、自治区、直辖市及新疆生产建设兵团工业和信息化主管部门、药品监督管理部门，有关中央企业，有关行业协会：</w:t>
      </w:r>
    </w:p>
    <w:p>
      <w:pPr>
        <w:rPr>
          <w:rFonts w:hint="eastAsia"/>
        </w:rPr>
      </w:pPr>
      <w:r>
        <w:rPr>
          <w:rFonts w:hint="eastAsia"/>
        </w:rPr>
        <w:t>为加快我国生物医用材料研制生产及应用进程，推进生物医用材料上下游协同创新攻关，更好支撑医疗器械产业高质量发展，工业和信息化部、国家药监局联合开展生物医用材料创新任务揭榜挂帅（第二批）工作，有关事项通知如下。</w:t>
      </w:r>
    </w:p>
    <w:p>
      <w:pPr>
        <w:pStyle w:val="5"/>
        <w:rPr>
          <w:rFonts w:hint="eastAsia"/>
        </w:rPr>
      </w:pPr>
      <w:r>
        <w:rPr>
          <w:rFonts w:hint="eastAsia"/>
        </w:rPr>
        <w:t>一、任务内容和预期目标</w:t>
      </w:r>
    </w:p>
    <w:p>
      <w:pPr>
        <w:rPr>
          <w:rFonts w:hint="eastAsia"/>
        </w:rPr>
      </w:pPr>
      <w:r>
        <w:rPr>
          <w:rFonts w:hint="eastAsia"/>
        </w:rPr>
        <w:t>生物医用材料创新任务揭榜挂帅（第二批）工作聚焦高分子材料、金属材料、无机非金属材料等重点方向，征集遴选一批掌握关键核心技术、具备较强创新能力的单位集中攻关，重点突破一批技术先进、创新性强、临床应用价值高的标志性生物医用材料，材料性能符合临床应用要求、形成稳定可靠的规模化生产能力，加速在相关下游医疗器械产品领域实现落地应用。</w:t>
      </w:r>
    </w:p>
    <w:p>
      <w:pPr>
        <w:pStyle w:val="6"/>
        <w:rPr>
          <w:rFonts w:hint="eastAsia"/>
        </w:rPr>
      </w:pPr>
      <w:r>
        <w:rPr>
          <w:rFonts w:hint="eastAsia"/>
        </w:rPr>
        <w:t>（一）高分子材料</w:t>
      </w:r>
    </w:p>
    <w:p>
      <w:pPr>
        <w:rPr>
          <w:rFonts w:hint="eastAsia"/>
        </w:rPr>
      </w:pPr>
      <w:r>
        <w:rPr>
          <w:rFonts w:hint="eastAsia"/>
        </w:rPr>
        <w:t>用于心脏瓣膜、覆膜支架、人工关节、人工晶体、人工硬脑膜、血液灌流器、口腔修复器械、创面修复器械等医疗器械产品的高分子材料，包括聚对苯二甲酸乙二酯、磷酰胆碱基聚合物、聚酰胺、聚酰亚胺、嵌段聚醚酰胺树脂、纳米光固化复合树脂、丝素蛋白、细胞因子胆红素吸附树脂、聚醚酮酮、多酚型聚乙烯、高纯度丙烯酸酯单体、高端聚丙烯、高透氧性硅氧烷、聚甲醛、非邻苯类增塑剂、异丁烯基聚合物、树枝状光感智能材料、抗血栓新材料ε-赖氨酸基聚合物、聚酯-聚乙二醇共聚物、微纳米纤维复合材料、聚缩醛、高活性修复新材料等。</w:t>
      </w:r>
    </w:p>
    <w:p>
      <w:pPr>
        <w:pStyle w:val="6"/>
        <w:rPr>
          <w:rFonts w:hint="eastAsia"/>
        </w:rPr>
      </w:pPr>
      <w:r>
        <w:rPr>
          <w:rFonts w:hint="eastAsia"/>
        </w:rPr>
        <w:t>（二）金属材料</w:t>
      </w:r>
    </w:p>
    <w:p>
      <w:pPr>
        <w:rPr>
          <w:rFonts w:hint="eastAsia"/>
        </w:rPr>
      </w:pPr>
      <w:r>
        <w:rPr>
          <w:rFonts w:hint="eastAsia"/>
        </w:rPr>
        <w:t>用于人工关节、血管支架、神经补片、神经血管导丝、口腔植入器械等医疗器械产品的金属材料，包括超细晶钛棒丝材、高端不锈钢丝材、多孔钽、锆铌合金、全显影医用植入级镍钛-铂金复合材料、镍钴铬钼合金丝材、钼铼合金管材、高纯铁管材、无镍高氮合金、钽银合金靶材等。</w:t>
      </w:r>
    </w:p>
    <w:p>
      <w:pPr>
        <w:pStyle w:val="6"/>
        <w:rPr>
          <w:rFonts w:hint="eastAsia"/>
        </w:rPr>
      </w:pPr>
      <w:r>
        <w:rPr>
          <w:rFonts w:hint="eastAsia"/>
        </w:rPr>
        <w:t>（三）无机非金属材料</w:t>
      </w:r>
    </w:p>
    <w:p>
      <w:pPr>
        <w:rPr>
          <w:rFonts w:hint="eastAsia"/>
        </w:rPr>
      </w:pPr>
      <w:r>
        <w:rPr>
          <w:rFonts w:hint="eastAsia"/>
        </w:rPr>
        <w:t>用于人工骨修复、口腔修复等医疗器械产品的无机非金属材料，包括可降解半水硫酸钙、硫酸钙、氮化硅陶瓷、3D打印氧化锆陶瓷墨水、胶原/磷酸钙复合材料、纳米羟基磷灰石、无机非金属涂层材料等。</w:t>
      </w:r>
    </w:p>
    <w:p>
      <w:pPr>
        <w:pStyle w:val="5"/>
        <w:rPr>
          <w:rFonts w:hint="eastAsia"/>
        </w:rPr>
      </w:pPr>
      <w:r>
        <w:rPr>
          <w:rFonts w:hint="eastAsia"/>
        </w:rPr>
        <w:t>二、推荐条件</w:t>
      </w:r>
    </w:p>
    <w:p>
      <w:pPr>
        <w:rPr>
          <w:rFonts w:hint="eastAsia"/>
        </w:rPr>
      </w:pPr>
      <w:r>
        <w:rPr>
          <w:rFonts w:hint="eastAsia"/>
        </w:rPr>
        <w:t>（一）揭榜申报主体须是材料生产企业和医疗器械生产企业组建的上下游联合体，鼓励医疗卫生机构、高校及科研院所、检测机构等共同参与，牵头单位为1家。参与联合体的单位须为在中华人民共和国境内注册、具有独立法人资格的企事业单位，具有较强的技术创新能力和产业化应用能力。</w:t>
      </w:r>
    </w:p>
    <w:p>
      <w:pPr>
        <w:rPr>
          <w:rFonts w:hint="eastAsia"/>
        </w:rPr>
      </w:pPr>
      <w:r>
        <w:rPr>
          <w:rFonts w:hint="eastAsia"/>
        </w:rPr>
        <w:t>（二）各省、自治区、直辖市工业和信息化主管部门会同药品监督管理部门作为推荐单位，优先推荐技术指标先进、技术路线成熟、推广应用方案完备、经费预算合理、揭榜团队综合能力强的项目。</w:t>
      </w:r>
    </w:p>
    <w:p>
      <w:pPr>
        <w:rPr>
          <w:rFonts w:hint="eastAsia"/>
        </w:rPr>
      </w:pPr>
      <w:r>
        <w:rPr>
          <w:rFonts w:hint="eastAsia"/>
        </w:rPr>
        <w:t>（三）每个单位牵头申报项目不能超过3个，已列入前期相关揭榜挂帅项目的不得重复申报。</w:t>
      </w:r>
    </w:p>
    <w:p>
      <w:pPr>
        <w:pStyle w:val="5"/>
        <w:rPr>
          <w:rFonts w:hint="eastAsia"/>
        </w:rPr>
      </w:pPr>
      <w:r>
        <w:rPr>
          <w:rFonts w:hint="eastAsia"/>
        </w:rPr>
        <w:t>三、工作要求</w:t>
      </w:r>
    </w:p>
    <w:p>
      <w:pPr>
        <w:rPr>
          <w:rFonts w:hint="eastAsia"/>
        </w:rPr>
      </w:pPr>
      <w:r>
        <w:rPr>
          <w:rFonts w:hint="eastAsia"/>
        </w:rPr>
        <w:t>（一）申报主体可通过申报系统（https://aimd.caict.ac.cn）进行申报，完成注册后填写申报所需材料。申报截止时间为2025年3月28日。</w:t>
      </w:r>
    </w:p>
    <w:p>
      <w:pPr>
        <w:rPr>
          <w:rFonts w:hint="eastAsia"/>
        </w:rPr>
      </w:pPr>
      <w:r>
        <w:rPr>
          <w:rFonts w:hint="eastAsia"/>
        </w:rPr>
        <w:t>（二）推荐单位于2025年4月7日前使用账号登录系统并确认推荐名单。</w:t>
      </w:r>
    </w:p>
    <w:p>
      <w:pPr>
        <w:rPr>
          <w:rFonts w:hint="eastAsia"/>
        </w:rPr>
      </w:pPr>
      <w:r>
        <w:rPr>
          <w:rFonts w:hint="eastAsia"/>
        </w:rPr>
        <w:t>（三）请推荐单位高度重视生物医用材料创新任务揭榜挂帅工作，充分调动重点企业、专精特新“小巨人”企业、单项冠军企业、医疗卫生机构、高校及科研院所、相关产业联盟及行业协会的积极性，按照政府引导、企业自愿、公开公正的原则做好推荐工作，并结合区域产业优势和临床资源，加大对“揭榜挂帅”重点品种、重点企业配套支持力度，优先配置入选“揭榜挂帅”的项目用地、用能、排污等指标资源，出台鼓励应用推广的配套政策。</w:t>
      </w:r>
    </w:p>
    <w:p>
      <w:pPr>
        <w:rPr>
          <w:rFonts w:hint="eastAsia"/>
        </w:rPr>
      </w:pPr>
      <w:r>
        <w:rPr>
          <w:rFonts w:hint="eastAsia"/>
        </w:rPr>
        <w:t>（四）工业和信息化部、国家药监局委托第三方专业机构组织遴选并公布入围揭榜单位名单，建立“赛马机制”，每个揭榜产品择优选择揭榜团队（原则上不超过3家）进行攻关，拟将揭榜挂帅攻关方向纳入现有政策支持渠道，依托国家产融合作平台提供投融资对接服务，并优先提供审评相关的技术咨询服务。</w:t>
      </w:r>
    </w:p>
    <w:p>
      <w:pPr>
        <w:rPr>
          <w:rFonts w:hint="eastAsia"/>
        </w:rPr>
      </w:pPr>
      <w:r>
        <w:rPr>
          <w:rFonts w:hint="eastAsia"/>
        </w:rPr>
        <w:t>（五）入围揭榜挂帅单位完成攻关任务后（原则上名单公布之日起3年内），工业和信息化部、国家药监局委托专业机构开展测评工作，择优确定揭榜优胜单位（每个揭榜产品原则上不超过2家）。鼓励完成揭榜任务的相关材料以医疗器械主文档形式进行登记，并通过新材料首批次应用保险补偿等政策加大应用推广支持力度。</w:t>
      </w:r>
    </w:p>
    <w:p>
      <w:pPr>
        <w:rPr>
          <w:rFonts w:hint="eastAsia"/>
        </w:rPr>
      </w:pPr>
      <w:r>
        <w:rPr>
          <w:rFonts w:hint="eastAsia"/>
        </w:rPr>
        <w:t>（六）中国信息通信研究院、国家药监局医疗器械技术审评中心和中国医疗器械行业协会为揭榜挂帅工作提供过程管理、技术咨询、评估组织、协调服务等支撑工作。</w:t>
      </w:r>
    </w:p>
    <w:p>
      <w:pPr>
        <w:pStyle w:val="5"/>
        <w:rPr>
          <w:rFonts w:hint="eastAsia"/>
        </w:rPr>
      </w:pPr>
      <w:r>
        <w:rPr>
          <w:rFonts w:hint="eastAsia"/>
        </w:rPr>
        <w:t>四、联系人及电话：</w:t>
      </w:r>
    </w:p>
    <w:p>
      <w:pPr>
        <w:rPr>
          <w:rFonts w:hint="eastAsia"/>
        </w:rPr>
      </w:pPr>
      <w:r>
        <w:rPr>
          <w:rFonts w:hint="eastAsia"/>
        </w:rPr>
        <w:t>工业和信息化部原材料工业司　　刘伯民　010-68205750</w:t>
      </w:r>
    </w:p>
    <w:p>
      <w:pPr>
        <w:rPr>
          <w:rFonts w:hint="eastAsia"/>
        </w:rPr>
      </w:pPr>
      <w:r>
        <w:rPr>
          <w:rFonts w:hint="eastAsia"/>
        </w:rPr>
        <w:t>工业和信息化部消费品工业司　　符一男　010-68205638</w:t>
      </w:r>
    </w:p>
    <w:p>
      <w:pPr>
        <w:rPr>
          <w:rFonts w:hint="eastAsia"/>
        </w:rPr>
      </w:pPr>
      <w:r>
        <w:rPr>
          <w:rFonts w:hint="eastAsia"/>
        </w:rPr>
        <w:t>国家药监局医疗器械注册管理司　胡雪燕　010-88330635</w:t>
      </w:r>
    </w:p>
    <w:p>
      <w:pPr>
        <w:rPr>
          <w:rFonts w:hint="eastAsia"/>
        </w:rPr>
      </w:pPr>
    </w:p>
    <w:p>
      <w:pPr>
        <w:rPr>
          <w:rFonts w:hint="eastAsia"/>
        </w:rPr>
      </w:pPr>
      <w:r>
        <w:rPr>
          <w:rFonts w:hint="eastAsia"/>
        </w:rPr>
        <w:t>工作咨询：</w:t>
      </w:r>
    </w:p>
    <w:p>
      <w:pPr>
        <w:rPr>
          <w:rFonts w:hint="eastAsia"/>
        </w:rPr>
      </w:pPr>
      <w:r>
        <w:rPr>
          <w:rFonts w:hint="eastAsia"/>
        </w:rPr>
        <w:t>中国信息通信研究院</w:t>
      </w:r>
      <w:r>
        <w:rPr>
          <w:rFonts w:hint="eastAsia"/>
          <w:lang w:val="en-US" w:eastAsia="zh-CN"/>
        </w:rPr>
        <w:t xml:space="preserve"> </w:t>
      </w:r>
      <w:r>
        <w:rPr>
          <w:rFonts w:hint="eastAsia"/>
        </w:rPr>
        <w:t>王子函　010-62302915</w:t>
      </w:r>
    </w:p>
    <w:p>
      <w:pPr>
        <w:rPr>
          <w:rFonts w:hint="eastAsia"/>
        </w:rPr>
      </w:pPr>
      <w:r>
        <w:rPr>
          <w:rFonts w:hint="eastAsia"/>
        </w:rPr>
        <w:t>国家药监局医疗器械技术审评中心</w:t>
      </w:r>
      <w:r>
        <w:rPr>
          <w:rFonts w:hint="eastAsia"/>
          <w:lang w:val="en-US" w:eastAsia="zh-CN"/>
        </w:rPr>
        <w:t xml:space="preserve"> </w:t>
      </w:r>
      <w:r>
        <w:rPr>
          <w:rFonts w:hint="eastAsia"/>
        </w:rPr>
        <w:t>贾同洁　010-86452726</w:t>
      </w:r>
    </w:p>
    <w:p>
      <w:pPr>
        <w:rPr>
          <w:rFonts w:hint="eastAsia"/>
        </w:rPr>
      </w:pPr>
      <w:r>
        <w:rPr>
          <w:rFonts w:hint="eastAsia"/>
        </w:rPr>
        <w:t>中国医疗器械行业协会</w:t>
      </w:r>
      <w:r>
        <w:rPr>
          <w:rFonts w:hint="eastAsia"/>
          <w:lang w:val="en-US" w:eastAsia="zh-CN"/>
        </w:rPr>
        <w:t xml:space="preserve"> </w:t>
      </w:r>
      <w:r>
        <w:rPr>
          <w:rFonts w:hint="eastAsia"/>
        </w:rPr>
        <w:t>苏文娜　010-58691200-8012</w:t>
      </w:r>
    </w:p>
    <w:p>
      <w:pPr>
        <w:rPr>
          <w:rFonts w:hint="eastAsia"/>
        </w:rPr>
      </w:pPr>
    </w:p>
    <w:p>
      <w:pPr>
        <w:rPr>
          <w:rFonts w:hint="eastAsia"/>
        </w:rPr>
      </w:pPr>
      <w:r>
        <w:rPr>
          <w:rFonts w:hint="eastAsia"/>
        </w:rPr>
        <w:t xml:space="preserve">附件：1.生物医用材料创新任务揭榜挂帅单位推荐表 </w:t>
      </w:r>
    </w:p>
    <w:p>
      <w:pPr>
        <w:rPr>
          <w:rFonts w:hint="eastAsia"/>
        </w:rPr>
      </w:pPr>
      <w:r>
        <w:rPr>
          <w:rFonts w:hint="eastAsia"/>
        </w:rPr>
        <w:t xml:space="preserve">　　　2.生物医用材料创新任务揭榜挂帅单位申报材料 </w:t>
      </w:r>
    </w:p>
    <w:p>
      <w:pPr>
        <w:rPr>
          <w:rFonts w:hint="eastAsia"/>
        </w:rPr>
      </w:pPr>
    </w:p>
    <w:p>
      <w:pPr>
        <w:jc w:val="right"/>
        <w:rPr>
          <w:rFonts w:hint="eastAsia"/>
        </w:rPr>
      </w:pPr>
      <w:r>
        <w:rPr>
          <w:rFonts w:hint="eastAsia"/>
        </w:rPr>
        <w:t>工业和信息化部办公厅</w:t>
      </w:r>
    </w:p>
    <w:p>
      <w:pPr>
        <w:jc w:val="right"/>
        <w:rPr>
          <w:rFonts w:hint="eastAsia"/>
        </w:rPr>
      </w:pPr>
      <w:r>
        <w:rPr>
          <w:rFonts w:hint="eastAsia"/>
        </w:rPr>
        <w:t>国家药监局综合司</w:t>
      </w:r>
    </w:p>
    <w:p>
      <w:pPr>
        <w:jc w:val="right"/>
        <w:rPr>
          <w:rFonts w:hint="eastAsia"/>
        </w:rPr>
        <w:sectPr>
          <w:pgSz w:w="11906" w:h="16838"/>
          <w:pgMar w:top="2098" w:right="1474" w:bottom="1984" w:left="1587" w:header="851" w:footer="992" w:gutter="0"/>
          <w:pgNumType w:fmt="numberInDash"/>
          <w:cols w:space="0" w:num="1"/>
          <w:rtlGutter w:val="0"/>
          <w:docGrid w:type="lines" w:linePitch="318" w:charSpace="0"/>
        </w:sectPr>
      </w:pPr>
      <w:r>
        <w:rPr>
          <w:rFonts w:hint="eastAsia"/>
        </w:rPr>
        <w:t>2025年1月22日</w:t>
      </w:r>
    </w:p>
    <w:p>
      <w:pPr>
        <w:spacing w:line="600" w:lineRule="exact"/>
        <w:jc w:val="left"/>
        <w:outlineLvl w:val="0"/>
        <w:rPr>
          <w:rFonts w:ascii="Times New Roman" w:hAnsi="Times New Roman" w:eastAsia="黑体"/>
          <w:bCs/>
          <w:kern w:val="0"/>
          <w:sz w:val="32"/>
          <w:szCs w:val="48"/>
        </w:rPr>
      </w:pPr>
      <w:r>
        <w:rPr>
          <w:rFonts w:ascii="Times New Roman" w:hAnsi="Times New Roman" w:eastAsia="黑体"/>
          <w:sz w:val="32"/>
          <w:szCs w:val="32"/>
        </w:rPr>
        <w:t>附</w:t>
      </w:r>
      <w:r>
        <w:rPr>
          <w:rFonts w:hint="eastAsia" w:ascii="Times New Roman" w:hAnsi="Times New Roman" w:eastAsia="黑体"/>
          <w:sz w:val="32"/>
          <w:szCs w:val="32"/>
        </w:rPr>
        <w:t>件</w:t>
      </w:r>
      <w:r>
        <w:rPr>
          <w:rFonts w:ascii="Times New Roman" w:hAnsi="Times New Roman" w:eastAsia="黑体"/>
          <w:bCs/>
          <w:kern w:val="0"/>
          <w:sz w:val="32"/>
          <w:szCs w:val="48"/>
        </w:rPr>
        <w:t>1</w:t>
      </w:r>
    </w:p>
    <w:p>
      <w:pPr>
        <w:outlineLvl w:val="0"/>
        <w:rPr>
          <w:rFonts w:ascii="Times New Roman" w:hAnsi="Times New Roman" w:eastAsia="黑体"/>
          <w:bCs/>
          <w:kern w:val="0"/>
          <w:sz w:val="32"/>
          <w:szCs w:val="48"/>
        </w:rPr>
      </w:pPr>
    </w:p>
    <w:p>
      <w:pPr>
        <w:adjustRightInd/>
        <w:snapToGrid/>
        <w:spacing w:line="240" w:lineRule="auto"/>
        <w:ind w:firstLine="0" w:firstLineChars="0"/>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生物医用材料创新任务揭榜挂帅单位推荐表</w:t>
      </w:r>
    </w:p>
    <w:tbl>
      <w:tblPr>
        <w:tblStyle w:val="11"/>
        <w:tblW w:w="140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3267"/>
        <w:gridCol w:w="2317"/>
        <w:gridCol w:w="2579"/>
        <w:gridCol w:w="1260"/>
        <w:gridCol w:w="145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黑体" w:hAnsi="黑体" w:eastAsia="黑体"/>
                <w:bCs/>
                <w:sz w:val="24"/>
                <w:szCs w:val="24"/>
              </w:rPr>
            </w:pPr>
            <w:r>
              <w:rPr>
                <w:rFonts w:ascii="黑体" w:hAnsi="黑体" w:eastAsia="黑体"/>
                <w:bCs/>
                <w:sz w:val="24"/>
                <w:szCs w:val="24"/>
              </w:rPr>
              <w:t>序号</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黑体" w:hAnsi="黑体" w:eastAsia="黑体"/>
                <w:b/>
                <w:sz w:val="24"/>
                <w:szCs w:val="24"/>
              </w:rPr>
            </w:pPr>
            <w:r>
              <w:rPr>
                <w:rFonts w:ascii="黑体" w:hAnsi="黑体" w:eastAsia="黑体"/>
                <w:bCs/>
                <w:sz w:val="24"/>
                <w:szCs w:val="24"/>
              </w:rPr>
              <w:t>揭榜</w:t>
            </w:r>
            <w:r>
              <w:rPr>
                <w:rFonts w:hint="eastAsia" w:ascii="黑体" w:hAnsi="黑体" w:eastAsia="黑体"/>
                <w:bCs/>
                <w:sz w:val="24"/>
                <w:szCs w:val="24"/>
              </w:rPr>
              <w:t>挂帅牵头单位名称</w:t>
            </w:r>
          </w:p>
        </w:tc>
        <w:tc>
          <w:tcPr>
            <w:tcW w:w="32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黑体" w:hAnsi="黑体" w:eastAsia="黑体"/>
                <w:bCs/>
                <w:sz w:val="24"/>
                <w:szCs w:val="24"/>
              </w:rPr>
            </w:pPr>
            <w:r>
              <w:rPr>
                <w:rFonts w:ascii="黑体" w:hAnsi="黑体" w:eastAsia="黑体"/>
                <w:bCs/>
                <w:sz w:val="24"/>
                <w:szCs w:val="24"/>
              </w:rPr>
              <w:t>揭榜挂帅</w:t>
            </w:r>
            <w:r>
              <w:rPr>
                <w:rFonts w:hint="eastAsia" w:ascii="黑体" w:hAnsi="黑体" w:eastAsia="黑体"/>
                <w:bCs/>
                <w:sz w:val="24"/>
                <w:szCs w:val="24"/>
              </w:rPr>
              <w:t>方向</w:t>
            </w:r>
            <w:r>
              <w:rPr>
                <w:rFonts w:ascii="黑体" w:hAnsi="黑体" w:eastAsia="黑体"/>
                <w:bCs/>
                <w:sz w:val="24"/>
                <w:szCs w:val="24"/>
              </w:rPr>
              <w:t>（高分子材料/金属材料/无机非金属材料）</w:t>
            </w:r>
          </w:p>
        </w:tc>
        <w:tc>
          <w:tcPr>
            <w:tcW w:w="23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黑体" w:hAnsi="黑体" w:eastAsia="黑体"/>
                <w:bCs/>
                <w:sz w:val="24"/>
                <w:szCs w:val="24"/>
              </w:rPr>
            </w:pPr>
            <w:r>
              <w:rPr>
                <w:rFonts w:ascii="黑体" w:hAnsi="黑体" w:eastAsia="黑体"/>
                <w:bCs/>
                <w:sz w:val="24"/>
                <w:szCs w:val="24"/>
              </w:rPr>
              <w:t>揭榜挂帅任务名称</w:t>
            </w:r>
          </w:p>
        </w:tc>
        <w:tc>
          <w:tcPr>
            <w:tcW w:w="25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黑体" w:hAnsi="黑体" w:eastAsia="黑体"/>
                <w:bCs/>
                <w:sz w:val="24"/>
                <w:szCs w:val="24"/>
              </w:rPr>
            </w:pPr>
            <w:r>
              <w:rPr>
                <w:rFonts w:ascii="黑体" w:hAnsi="黑体" w:eastAsia="黑体"/>
                <w:bCs/>
                <w:sz w:val="24"/>
                <w:szCs w:val="24"/>
              </w:rPr>
              <w:t>推荐理由</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黑体" w:hAnsi="黑体" w:eastAsia="黑体"/>
                <w:bCs/>
                <w:sz w:val="24"/>
                <w:szCs w:val="24"/>
              </w:rPr>
            </w:pPr>
            <w:r>
              <w:rPr>
                <w:rFonts w:ascii="黑体" w:hAnsi="黑体" w:eastAsia="黑体"/>
                <w:bCs/>
                <w:sz w:val="24"/>
                <w:szCs w:val="24"/>
              </w:rPr>
              <w:t>联系人</w:t>
            </w:r>
          </w:p>
        </w:tc>
        <w:tc>
          <w:tcPr>
            <w:tcW w:w="1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黑体" w:hAnsi="黑体" w:eastAsia="黑体"/>
                <w:bCs/>
                <w:sz w:val="24"/>
                <w:szCs w:val="24"/>
              </w:rPr>
            </w:pPr>
            <w:r>
              <w:rPr>
                <w:rFonts w:ascii="黑体" w:hAnsi="黑体" w:eastAsia="黑体"/>
                <w:bCs/>
                <w:sz w:val="24"/>
                <w:szCs w:val="24"/>
              </w:rPr>
              <w:t>手机</w:t>
            </w:r>
          </w:p>
        </w:tc>
        <w:tc>
          <w:tcPr>
            <w:tcW w:w="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黑体" w:hAnsi="黑体" w:eastAsia="黑体"/>
                <w:bCs/>
                <w:sz w:val="24"/>
                <w:szCs w:val="24"/>
              </w:rPr>
            </w:pPr>
            <w:r>
              <w:rPr>
                <w:rFonts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r>
              <w:rPr>
                <w:rFonts w:ascii="Times New Roman" w:hAnsi="Times New Roman" w:eastAsia="宋体"/>
                <w:sz w:val="24"/>
                <w:szCs w:val="24"/>
              </w:rPr>
              <w:t>1</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宋体"/>
                <w:sz w:val="24"/>
                <w:szCs w:val="24"/>
              </w:rPr>
            </w:pPr>
          </w:p>
        </w:tc>
        <w:tc>
          <w:tcPr>
            <w:tcW w:w="32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23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25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1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r>
              <w:rPr>
                <w:rFonts w:ascii="Times New Roman" w:hAnsi="Times New Roman" w:eastAsia="宋体"/>
                <w:sz w:val="24"/>
                <w:szCs w:val="24"/>
              </w:rPr>
              <w:t>2</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宋体"/>
                <w:sz w:val="24"/>
                <w:szCs w:val="24"/>
              </w:rPr>
            </w:pPr>
          </w:p>
        </w:tc>
        <w:tc>
          <w:tcPr>
            <w:tcW w:w="32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23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25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1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宋体"/>
                <w:sz w:val="24"/>
                <w:szCs w:val="24"/>
              </w:rPr>
            </w:pPr>
            <w:r>
              <w:rPr>
                <w:rFonts w:ascii="Times New Roman" w:hAnsi="Times New Roman" w:eastAsia="宋体"/>
                <w:sz w:val="24"/>
                <w:szCs w:val="24"/>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ascii="Times New Roman" w:hAnsi="Times New Roman" w:eastAsia="宋体"/>
                <w:sz w:val="24"/>
                <w:szCs w:val="24"/>
              </w:rPr>
            </w:pPr>
          </w:p>
        </w:tc>
        <w:tc>
          <w:tcPr>
            <w:tcW w:w="32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23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25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1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c>
          <w:tcPr>
            <w:tcW w:w="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exact"/>
        </w:trPr>
        <w:tc>
          <w:tcPr>
            <w:tcW w:w="1404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推荐单位：  盖章                                                推荐单位：  盖章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（工业和信息化主管部门）                                         （药品监督管理部门）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bl>
    <w:p>
      <w:pPr>
        <w:keepNext w:val="0"/>
        <w:keepLines w:val="0"/>
        <w:pageBreakBefore w:val="0"/>
        <w:widowControl w:val="0"/>
        <w:tabs>
          <w:tab w:val="left" w:pos="11712"/>
        </w:tabs>
        <w:kinsoku/>
        <w:wordWrap/>
        <w:overflowPunct/>
        <w:topLinePunct w:val="0"/>
        <w:autoSpaceDE/>
        <w:autoSpaceDN/>
        <w:bidi w:val="0"/>
        <w:spacing w:line="240" w:lineRule="auto"/>
        <w:ind w:firstLine="0" w:firstLineChars="0"/>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注：1.本表由推荐单位填报。</w:t>
      </w:r>
    </w:p>
    <w:p>
      <w:pPr>
        <w:keepNext w:val="0"/>
        <w:keepLines w:val="0"/>
        <w:pageBreakBefore w:val="0"/>
        <w:widowControl w:val="0"/>
        <w:tabs>
          <w:tab w:val="left" w:pos="11712"/>
        </w:tabs>
        <w:kinsoku/>
        <w:wordWrap/>
        <w:overflowPunct/>
        <w:topLinePunct w:val="0"/>
        <w:autoSpaceDE/>
        <w:autoSpaceDN/>
        <w:bidi w:val="0"/>
        <w:spacing w:line="240" w:lineRule="auto"/>
        <w:ind w:firstLine="0" w:firstLineChars="0"/>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2.揭榜挂帅牵头单位按推荐申报主体的优先次序排名。</w:t>
      </w:r>
    </w:p>
    <w:p>
      <w:pPr>
        <w:keepNext w:val="0"/>
        <w:keepLines w:val="0"/>
        <w:pageBreakBefore w:val="0"/>
        <w:widowControl w:val="0"/>
        <w:tabs>
          <w:tab w:val="left" w:pos="11712"/>
        </w:tabs>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仿宋_GB2312" w:cs="Times New Roman"/>
          <w:sz w:val="24"/>
          <w:szCs w:val="24"/>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3.揭榜挂帅任务名称应体现攻关的高分子材料/金属材料/无机非金属材料，及其应用的医疗器械产品</w:t>
      </w:r>
    </w:p>
    <w:p>
      <w:pPr>
        <w:ind w:left="0" w:leftChars="0" w:firstLine="0" w:firstLineChars="0"/>
        <w:outlineLvl w:val="0"/>
        <w:rPr>
          <w:rFonts w:ascii="Times New Roman" w:hAnsi="Times New Roman" w:eastAsia="黑体"/>
          <w:sz w:val="32"/>
          <w:szCs w:val="32"/>
        </w:rPr>
      </w:pPr>
      <w:r>
        <w:rPr>
          <w:rFonts w:hint="eastAsia" w:ascii="Times New Roman" w:hAnsi="Times New Roman" w:eastAsia="黑体"/>
          <w:sz w:val="32"/>
          <w:szCs w:val="32"/>
        </w:rPr>
        <w:t>附件2</w:t>
      </w:r>
    </w:p>
    <w:p>
      <w:pPr>
        <w:ind w:firstLine="883"/>
        <w:rPr>
          <w:rFonts w:ascii="Times New Roman" w:hAnsi="Times New Roman" w:eastAsia="黑体"/>
          <w:b/>
          <w:sz w:val="44"/>
          <w:szCs w:val="44"/>
        </w:rPr>
      </w:pPr>
    </w:p>
    <w:p>
      <w:pPr>
        <w:ind w:firstLine="883"/>
        <w:rPr>
          <w:rFonts w:ascii="Times New Roman" w:hAnsi="Times New Roman" w:eastAsia="黑体"/>
          <w:b/>
          <w:sz w:val="44"/>
          <w:szCs w:val="44"/>
        </w:rPr>
      </w:pPr>
    </w:p>
    <w:p>
      <w:pPr>
        <w:spacing w:line="600" w:lineRule="exact"/>
        <w:ind w:left="0" w:leftChars="0" w:firstLine="0" w:firstLineChars="0"/>
        <w:jc w:val="center"/>
        <w:rPr>
          <w:rFonts w:ascii="Times New Roman" w:hAnsi="Times New Roman" w:eastAsia="方正小标宋简体"/>
          <w:bCs/>
          <w:sz w:val="44"/>
          <w:szCs w:val="44"/>
        </w:rPr>
      </w:pPr>
      <w:r>
        <w:rPr>
          <w:rFonts w:ascii="Times New Roman" w:hAnsi="Times New Roman" w:eastAsia="方正小标宋简体"/>
          <w:bCs/>
          <w:sz w:val="44"/>
          <w:szCs w:val="44"/>
        </w:rPr>
        <w:t>生物医用材料创新任务揭榜挂帅单位</w:t>
      </w:r>
    </w:p>
    <w:p>
      <w:pPr>
        <w:spacing w:line="600" w:lineRule="exact"/>
        <w:ind w:left="0" w:leftChars="0" w:firstLine="0" w:firstLineChars="0"/>
        <w:jc w:val="center"/>
        <w:rPr>
          <w:rFonts w:ascii="Times New Roman" w:hAnsi="Times New Roman" w:eastAsia="方正小标宋简体"/>
          <w:bCs/>
          <w:sz w:val="44"/>
          <w:szCs w:val="44"/>
        </w:rPr>
      </w:pPr>
      <w:r>
        <w:rPr>
          <w:rFonts w:ascii="Times New Roman" w:hAnsi="Times New Roman" w:eastAsia="方正小标宋简体"/>
          <w:bCs/>
          <w:sz w:val="44"/>
          <w:szCs w:val="44"/>
        </w:rPr>
        <w:t>申报材料</w:t>
      </w:r>
    </w:p>
    <w:p>
      <w:pPr>
        <w:rPr>
          <w:rFonts w:ascii="Times New Roman" w:hAnsi="Times New Roman" w:eastAsia="宋体"/>
          <w:szCs w:val="24"/>
        </w:rPr>
      </w:pPr>
    </w:p>
    <w:p>
      <w:pPr>
        <w:rPr>
          <w:rFonts w:ascii="Times New Roman" w:hAnsi="Times New Roman" w:eastAsia="宋体"/>
          <w:szCs w:val="24"/>
        </w:rPr>
      </w:pPr>
    </w:p>
    <w:p>
      <w:pPr>
        <w:rPr>
          <w:rFonts w:ascii="Times New Roman" w:hAnsi="Times New Roman" w:eastAsia="宋体"/>
          <w:szCs w:val="24"/>
        </w:rPr>
      </w:pPr>
    </w:p>
    <w:p>
      <w:pPr>
        <w:rPr>
          <w:rFonts w:ascii="Times New Roman" w:hAnsi="Times New Roman" w:eastAsia="宋体"/>
          <w:szCs w:val="24"/>
        </w:rPr>
      </w:pPr>
    </w:p>
    <w:p>
      <w:pPr>
        <w:rPr>
          <w:rFonts w:ascii="Times New Roman" w:hAnsi="Times New Roman" w:eastAsia="宋体"/>
          <w:szCs w:val="24"/>
        </w:rPr>
      </w:pPr>
    </w:p>
    <w:p>
      <w:pPr>
        <w:rPr>
          <w:rFonts w:ascii="Times New Roman" w:hAnsi="Times New Roman" w:eastAsia="宋体"/>
          <w:szCs w:val="24"/>
        </w:rPr>
      </w:pPr>
    </w:p>
    <w:p>
      <w:pPr>
        <w:rPr>
          <w:rFonts w:ascii="Times New Roman" w:hAnsi="Times New Roman" w:eastAsia="宋体"/>
          <w:szCs w:val="24"/>
        </w:rPr>
      </w:pPr>
    </w:p>
    <w:p>
      <w:pPr>
        <w:rPr>
          <w:rFonts w:ascii="Times New Roman" w:hAnsi="Times New Roman" w:eastAsia="宋体"/>
          <w:sz w:val="32"/>
          <w:szCs w:val="32"/>
        </w:rPr>
      </w:pPr>
    </w:p>
    <w:p>
      <w:pPr>
        <w:ind w:firstLine="640" w:firstLineChars="200"/>
        <w:rPr>
          <w:rFonts w:ascii="Times New Roman" w:hAnsi="Times New Roman" w:eastAsia="黑体"/>
          <w:sz w:val="32"/>
          <w:szCs w:val="32"/>
          <w:u w:val="single"/>
        </w:rPr>
      </w:pPr>
      <w:r>
        <w:rPr>
          <w:rFonts w:ascii="Times New Roman" w:hAnsi="Times New Roman" w:eastAsia="黑体"/>
          <w:sz w:val="32"/>
          <w:szCs w:val="32"/>
        </w:rPr>
        <w:t>揭榜</w:t>
      </w:r>
      <w:r>
        <w:rPr>
          <w:rFonts w:hint="eastAsia" w:ascii="Times New Roman" w:hAnsi="Times New Roman" w:eastAsia="黑体"/>
          <w:sz w:val="32"/>
          <w:szCs w:val="32"/>
        </w:rPr>
        <w:t>挂帅</w:t>
      </w:r>
      <w:r>
        <w:rPr>
          <w:rFonts w:ascii="Times New Roman" w:hAnsi="Times New Roman" w:eastAsia="黑体"/>
          <w:sz w:val="32"/>
          <w:szCs w:val="32"/>
        </w:rPr>
        <w:t>方向：</w:t>
      </w:r>
      <w:r>
        <w:rPr>
          <w:rFonts w:hint="eastAsia" w:ascii="Times New Roman" w:hAnsi="Times New Roman" w:eastAsia="黑体"/>
          <w:sz w:val="32"/>
          <w:szCs w:val="32"/>
          <w:u w:val="single"/>
        </w:rPr>
        <w:t>高分子材料/金属材料/</w:t>
      </w:r>
      <w:r>
        <w:rPr>
          <w:rFonts w:ascii="Times New Roman" w:hAnsi="Times New Roman" w:eastAsia="黑体"/>
          <w:sz w:val="32"/>
          <w:szCs w:val="32"/>
          <w:u w:val="single"/>
        </w:rPr>
        <w:t xml:space="preserve">无机非金属材料  </w:t>
      </w:r>
    </w:p>
    <w:p>
      <w:pPr>
        <w:ind w:firstLine="1840" w:firstLineChars="575"/>
        <w:rPr>
          <w:rFonts w:ascii="Times New Roman" w:hAnsi="Times New Roman" w:eastAsia="黑体"/>
          <w:sz w:val="32"/>
          <w:szCs w:val="32"/>
        </w:rPr>
      </w:pPr>
    </w:p>
    <w:p>
      <w:pPr>
        <w:ind w:firstLine="640" w:firstLineChars="200"/>
        <w:rPr>
          <w:rFonts w:ascii="Times New Roman" w:hAnsi="Times New Roman" w:eastAsia="黑体"/>
          <w:sz w:val="32"/>
          <w:szCs w:val="32"/>
          <w:u w:val="single"/>
        </w:rPr>
      </w:pPr>
      <w:r>
        <w:rPr>
          <w:rFonts w:ascii="Times New Roman" w:hAnsi="Times New Roman" w:eastAsia="黑体"/>
          <w:sz w:val="32"/>
          <w:szCs w:val="32"/>
        </w:rPr>
        <w:t>揭榜</w:t>
      </w:r>
      <w:r>
        <w:rPr>
          <w:rFonts w:hint="eastAsia" w:ascii="Times New Roman" w:hAnsi="Times New Roman" w:eastAsia="黑体"/>
          <w:sz w:val="32"/>
          <w:szCs w:val="32"/>
        </w:rPr>
        <w:t>挂帅任务</w:t>
      </w:r>
      <w:r>
        <w:rPr>
          <w:rFonts w:ascii="Times New Roman" w:hAnsi="Times New Roman" w:eastAsia="黑体"/>
          <w:sz w:val="32"/>
          <w:szCs w:val="32"/>
        </w:rPr>
        <w:t>名称：</w:t>
      </w:r>
      <w:r>
        <w:rPr>
          <w:rFonts w:hint="eastAsia" w:ascii="Times New Roman" w:hAnsi="Times New Roman" w:eastAsia="黑体"/>
          <w:sz w:val="32"/>
          <w:szCs w:val="32"/>
          <w:u w:val="single"/>
        </w:rPr>
        <w:t xml:space="preserve">                               </w:t>
      </w:r>
    </w:p>
    <w:p>
      <w:pPr>
        <w:ind w:firstLine="1840" w:firstLineChars="575"/>
        <w:rPr>
          <w:rFonts w:ascii="Times New Roman" w:hAnsi="Times New Roman" w:eastAsia="黑体"/>
          <w:sz w:val="32"/>
          <w:szCs w:val="32"/>
          <w:u w:val="single"/>
        </w:rPr>
      </w:pPr>
    </w:p>
    <w:p>
      <w:pPr>
        <w:ind w:firstLine="640" w:firstLineChars="200"/>
        <w:rPr>
          <w:rFonts w:ascii="Times New Roman" w:hAnsi="Times New Roman" w:eastAsia="黑体"/>
          <w:sz w:val="32"/>
          <w:szCs w:val="32"/>
        </w:rPr>
      </w:pPr>
      <w:r>
        <w:rPr>
          <w:rFonts w:ascii="Times New Roman" w:hAnsi="Times New Roman" w:eastAsia="黑体"/>
          <w:sz w:val="32"/>
          <w:szCs w:val="32"/>
        </w:rPr>
        <w:t>揭榜</w:t>
      </w:r>
      <w:r>
        <w:rPr>
          <w:rFonts w:hint="eastAsia" w:ascii="Times New Roman" w:hAnsi="Times New Roman" w:eastAsia="黑体"/>
          <w:sz w:val="32"/>
          <w:szCs w:val="32"/>
        </w:rPr>
        <w:t>挂帅牵头</w:t>
      </w:r>
      <w:r>
        <w:rPr>
          <w:rFonts w:ascii="Times New Roman" w:hAnsi="Times New Roman" w:eastAsia="黑体"/>
          <w:sz w:val="32"/>
          <w:szCs w:val="32"/>
        </w:rPr>
        <w:t>单位：</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（加盖单位公章）</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 xml:space="preserve"> </w:t>
      </w:r>
    </w:p>
    <w:p>
      <w:pPr>
        <w:ind w:firstLine="1840" w:firstLineChars="575"/>
        <w:rPr>
          <w:rFonts w:ascii="Times New Roman" w:hAnsi="Times New Roman" w:eastAsia="黑体"/>
          <w:sz w:val="32"/>
          <w:szCs w:val="32"/>
        </w:rPr>
      </w:pPr>
    </w:p>
    <w:p>
      <w:pPr>
        <w:ind w:firstLine="640" w:firstLineChars="200"/>
        <w:rPr>
          <w:rFonts w:hint="eastAsia" w:ascii="Times New Roman" w:hAnsi="Times New Roman" w:eastAsia="黑体"/>
          <w:sz w:val="32"/>
          <w:szCs w:val="32"/>
        </w:rPr>
      </w:pPr>
      <w:r>
        <w:rPr>
          <w:rFonts w:ascii="Times New Roman" w:hAnsi="Times New Roman" w:eastAsia="黑体"/>
          <w:sz w:val="32"/>
          <w:szCs w:val="32"/>
        </w:rPr>
        <w:t>推荐单位：</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（加盖单位公章）</w:t>
      </w:r>
      <w:r>
        <w:rPr>
          <w:rFonts w:hint="eastAsia" w:ascii="Times New Roman" w:hAnsi="Times New Roman" w:eastAsia="黑体"/>
          <w:sz w:val="32"/>
          <w:szCs w:val="32"/>
          <w:u w:val="single"/>
        </w:rPr>
        <w:t xml:space="preserve">          </w:t>
      </w:r>
    </w:p>
    <w:p>
      <w:pPr>
        <w:ind w:firstLine="1840" w:firstLineChars="575"/>
        <w:rPr>
          <w:rFonts w:ascii="Times New Roman" w:hAnsi="Times New Roman" w:eastAsia="黑体"/>
          <w:sz w:val="32"/>
          <w:szCs w:val="32"/>
        </w:rPr>
      </w:pPr>
    </w:p>
    <w:p>
      <w:pPr>
        <w:ind w:firstLine="640" w:firstLineChars="200"/>
        <w:rPr>
          <w:rFonts w:ascii="Times New Roman" w:hAnsi="Times New Roman" w:eastAsia="黑体"/>
          <w:sz w:val="32"/>
          <w:szCs w:val="32"/>
        </w:rPr>
      </w:pPr>
      <w:r>
        <w:rPr>
          <w:rFonts w:ascii="Times New Roman" w:hAnsi="Times New Roman" w:eastAsia="黑体"/>
          <w:sz w:val="32"/>
          <w:szCs w:val="32"/>
        </w:rPr>
        <w:t>申报日期：</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rPr>
        <w:t>年</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rPr>
        <w:t>月</w:t>
      </w:r>
      <w:r>
        <w:rPr>
          <w:rFonts w:ascii="Times New Roman" w:hAnsi="Times New Roman" w:eastAsia="黑体"/>
          <w:sz w:val="32"/>
          <w:szCs w:val="32"/>
          <w:u w:val="single"/>
        </w:rPr>
        <w:t xml:space="preserve">    </w:t>
      </w:r>
      <w:r>
        <w:rPr>
          <w:rFonts w:hint="eastAsia" w:ascii="Times New Roman" w:hAnsi="Times New Roman" w:eastAsia="黑体"/>
          <w:sz w:val="32"/>
          <w:szCs w:val="32"/>
          <w:u w:val="single"/>
        </w:rPr>
        <w:t xml:space="preserve">   </w:t>
      </w:r>
      <w:r>
        <w:rPr>
          <w:rFonts w:ascii="Times New Roman" w:hAnsi="Times New Roman" w:eastAsia="黑体"/>
          <w:sz w:val="32"/>
          <w:szCs w:val="32"/>
        </w:rPr>
        <w:t>日</w:t>
      </w:r>
    </w:p>
    <w:p>
      <w:pPr>
        <w:ind w:firstLine="1840" w:firstLineChars="575"/>
        <w:rPr>
          <w:rFonts w:ascii="Times New Roman" w:hAnsi="Times New Roman" w:eastAsia="黑体"/>
          <w:sz w:val="32"/>
          <w:szCs w:val="32"/>
        </w:rPr>
      </w:pPr>
    </w:p>
    <w:p>
      <w:pPr>
        <w:pStyle w:val="2"/>
      </w:pPr>
    </w:p>
    <w:p>
      <w:pPr>
        <w:ind w:left="0" w:leftChars="0" w:firstLine="0" w:firstLineChars="0"/>
        <w:jc w:val="center"/>
        <w:rPr>
          <w:rFonts w:ascii="Times New Roman" w:hAnsi="Times New Roman" w:eastAsia="方正小标宋简体"/>
          <w:sz w:val="44"/>
          <w:szCs w:val="36"/>
        </w:rPr>
      </w:pPr>
      <w:r>
        <w:rPr>
          <w:rFonts w:ascii="Times New Roman" w:hAnsi="Times New Roman" w:eastAsia="方正小标宋简体"/>
          <w:sz w:val="44"/>
          <w:szCs w:val="36"/>
        </w:rPr>
        <w:t>填 报 须 知</w:t>
      </w:r>
    </w:p>
    <w:p>
      <w:pPr>
        <w:rPr>
          <w:rFonts w:ascii="Times New Roman" w:hAnsi="Times New Roman" w:eastAsia="黑体"/>
          <w:szCs w:val="24"/>
        </w:rPr>
      </w:pPr>
    </w:p>
    <w:p>
      <w:pPr>
        <w:adjustRightInd/>
        <w:snapToGrid/>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一、揭榜挂帅单位应如实、详细地填写《生物医用材料创新任务揭榜挂帅单位申报材料》每一部分内容。</w:t>
      </w:r>
    </w:p>
    <w:p>
      <w:pPr>
        <w:adjustRightInd/>
        <w:snapToGrid/>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二、除另有说明外，揭榜挂帅单位申报表中栏目不得空缺。申报表要求提供证明材料处，请补充附件。</w:t>
      </w:r>
    </w:p>
    <w:p>
      <w:pPr>
        <w:adjustRightInd/>
        <w:snapToGrid/>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三、揭榜挂帅主体所申报的产品需拥有知识产权，对报送的全部资料真实性负责，并对能否按计划完成重点揭榜挂帅任务作出有效承诺。</w:t>
      </w:r>
    </w:p>
    <w:p>
      <w:pPr>
        <w:ind w:left="0" w:leftChars="0" w:firstLine="0" w:firstLineChars="0"/>
        <w:jc w:val="center"/>
        <w:rPr>
          <w:rFonts w:ascii="Times New Roman" w:hAnsi="Times New Roman" w:eastAsia="黑体"/>
          <w:sz w:val="32"/>
          <w:szCs w:val="32"/>
        </w:rPr>
      </w:pPr>
      <w:r>
        <w:rPr>
          <w:rFonts w:ascii="Times New Roman" w:hAnsi="Times New Roman" w:eastAsia="仿宋"/>
          <w:sz w:val="32"/>
          <w:szCs w:val="32"/>
        </w:rPr>
        <w:br w:type="page"/>
      </w:r>
      <w:r>
        <w:rPr>
          <w:rFonts w:ascii="Times New Roman" w:hAnsi="Times New Roman" w:eastAsia="黑体"/>
          <w:sz w:val="32"/>
          <w:szCs w:val="32"/>
        </w:rPr>
        <w:t>一、揭榜挂帅单位申报表</w:t>
      </w:r>
    </w:p>
    <w:p>
      <w:pPr>
        <w:jc w:val="center"/>
        <w:rPr>
          <w:rFonts w:ascii="Times New Roman" w:hAnsi="Times New Roman" w:eastAsia="黑体"/>
          <w:sz w:val="36"/>
          <w:szCs w:val="36"/>
        </w:rPr>
      </w:pPr>
    </w:p>
    <w:tbl>
      <w:tblPr>
        <w:tblStyle w:val="11"/>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2187"/>
        <w:gridCol w:w="2268"/>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宋体"/>
                <w:b/>
                <w:bCs/>
                <w:sz w:val="24"/>
                <w:szCs w:val="24"/>
              </w:rPr>
            </w:pPr>
            <w:bookmarkStart w:id="2" w:name="_GoBack"/>
            <w:bookmarkEnd w:id="2"/>
            <w:r>
              <w:rPr>
                <w:rFonts w:ascii="Times New Roman" w:hAnsi="Times New Roman" w:eastAsia="楷体_GB2312"/>
                <w:b/>
                <w:bCs/>
                <w:sz w:val="24"/>
                <w:szCs w:val="24"/>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牵头单位名称</w:t>
            </w:r>
          </w:p>
        </w:tc>
        <w:tc>
          <w:tcPr>
            <w:tcW w:w="737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组织机构代码</w:t>
            </w:r>
          </w:p>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/三证合一码</w:t>
            </w:r>
          </w:p>
        </w:tc>
        <w:tc>
          <w:tcPr>
            <w:tcW w:w="73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牵头单位地址</w:t>
            </w:r>
          </w:p>
        </w:tc>
        <w:tc>
          <w:tcPr>
            <w:tcW w:w="737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通讯地址</w:t>
            </w:r>
          </w:p>
        </w:tc>
        <w:tc>
          <w:tcPr>
            <w:tcW w:w="329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邮政编码</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姓名</w:t>
            </w:r>
          </w:p>
        </w:tc>
        <w:tc>
          <w:tcPr>
            <w:tcW w:w="21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电话</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职务</w:t>
            </w:r>
          </w:p>
        </w:tc>
        <w:tc>
          <w:tcPr>
            <w:tcW w:w="21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手机</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传真</w:t>
            </w:r>
          </w:p>
        </w:tc>
        <w:tc>
          <w:tcPr>
            <w:tcW w:w="21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E-mail</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联系人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姓名</w:t>
            </w:r>
          </w:p>
        </w:tc>
        <w:tc>
          <w:tcPr>
            <w:tcW w:w="21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电话</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3"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职务</w:t>
            </w:r>
          </w:p>
        </w:tc>
        <w:tc>
          <w:tcPr>
            <w:tcW w:w="21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手机</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传真</w:t>
            </w:r>
          </w:p>
        </w:tc>
        <w:tc>
          <w:tcPr>
            <w:tcW w:w="218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E-mail</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联合申报单位</w:t>
            </w:r>
          </w:p>
        </w:tc>
        <w:tc>
          <w:tcPr>
            <w:tcW w:w="3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单位名称</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单位性质</w:t>
            </w: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组织机构代码/三证合一码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c>
          <w:tcPr>
            <w:tcW w:w="32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c>
          <w:tcPr>
            <w:tcW w:w="1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牵头单位简介</w:t>
            </w:r>
          </w:p>
        </w:tc>
        <w:tc>
          <w:tcPr>
            <w:tcW w:w="737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textAlignment w:val="auto"/>
              <w:outlineLvl w:val="9"/>
              <w:rPr>
                <w:rFonts w:ascii="Times New Roman" w:hAnsi="Times New Roman" w:eastAsia="仿宋_GB2312"/>
                <w:sz w:val="24"/>
                <w:szCs w:val="24"/>
              </w:rPr>
            </w:pPr>
            <w:r>
              <w:rPr>
                <w:rFonts w:ascii="Times New Roman" w:hAnsi="Times New Roman" w:eastAsia="仿宋_GB2312"/>
                <w:sz w:val="24"/>
                <w:szCs w:val="24"/>
              </w:rPr>
              <w:t>包括成立时间、主营业务、主要产品、技术实力、发展历程等基本情况，以及所获论文、专利、软件著作权、标准、专著、比赛奖励等情况（需提供证明材料附后）（本部分内容不超过500字）。</w:t>
            </w:r>
          </w:p>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textAlignment w:val="auto"/>
              <w:outlineLvl w:val="9"/>
              <w:rPr>
                <w:rFonts w:ascii="Times New Roman" w:hAnsi="Times New Roman" w:eastAsia="仿宋_GB2312"/>
                <w:sz w:val="24"/>
                <w:szCs w:val="24"/>
              </w:rPr>
            </w:pPr>
          </w:p>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textAlignment w:val="auto"/>
              <w:outlineLvl w:val="9"/>
              <w:rPr>
                <w:rFonts w:ascii="Times New Roman" w:hAnsi="Times New Roman" w:eastAsia="仿宋_GB2312"/>
                <w:sz w:val="24"/>
                <w:szCs w:val="24"/>
              </w:rPr>
            </w:pPr>
          </w:p>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textAlignment w:val="auto"/>
              <w:outlineLvl w:val="9"/>
              <w:rPr>
                <w:rFonts w:ascii="Times New Roman" w:hAnsi="Times New Roman" w:eastAsia="仿宋_GB2312"/>
                <w:sz w:val="24"/>
                <w:szCs w:val="24"/>
              </w:rPr>
            </w:pPr>
          </w:p>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1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联合申报的企业或机构简介</w:t>
            </w:r>
          </w:p>
        </w:tc>
        <w:tc>
          <w:tcPr>
            <w:tcW w:w="737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textAlignment w:val="auto"/>
              <w:outlineLvl w:val="9"/>
              <w:rPr>
                <w:rFonts w:ascii="Times New Roman" w:hAnsi="Times New Roman" w:eastAsia="仿宋_GB2312"/>
                <w:sz w:val="24"/>
                <w:szCs w:val="24"/>
              </w:rPr>
            </w:pPr>
            <w:r>
              <w:rPr>
                <w:rFonts w:ascii="Times New Roman" w:hAnsi="Times New Roman" w:eastAsia="仿宋_GB2312"/>
                <w:sz w:val="24"/>
                <w:szCs w:val="24"/>
              </w:rPr>
              <w:t>（重点突出联合申报企业或机构在申报方向的特色、优势等，每个联合体成员简介不超过500字</w:t>
            </w:r>
            <w:r>
              <w:rPr>
                <w:rFonts w:hint="eastAsia" w:ascii="Times New Roman" w:hAnsi="Times New Roman" w:eastAsia="仿宋_GB2312"/>
                <w:sz w:val="24"/>
                <w:szCs w:val="24"/>
              </w:rPr>
              <w:t>。</w:t>
            </w:r>
            <w:r>
              <w:rPr>
                <w:rFonts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宋体"/>
                <w:sz w:val="24"/>
                <w:szCs w:val="24"/>
              </w:rPr>
            </w:pPr>
            <w:r>
              <w:rPr>
                <w:rFonts w:ascii="Times New Roman" w:hAnsi="Times New Roman" w:eastAsia="楷体_GB2312"/>
                <w:b/>
                <w:bCs/>
                <w:sz w:val="24"/>
                <w:szCs w:val="24"/>
              </w:rPr>
              <w:t>（二）揭榜挂帅任务基本信息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揭榜挂帅任务名称</w:t>
            </w:r>
          </w:p>
        </w:tc>
        <w:tc>
          <w:tcPr>
            <w:tcW w:w="73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left"/>
              <w:textAlignment w:val="auto"/>
              <w:outlineLvl w:val="9"/>
              <w:rPr>
                <w:rFonts w:ascii="Times New Roman" w:hAnsi="Times New Roman" w:eastAsia="仿宋_GB2312"/>
                <w:sz w:val="24"/>
                <w:szCs w:val="24"/>
              </w:rPr>
            </w:pPr>
            <w:r>
              <w:rPr>
                <w:rFonts w:hint="eastAsia" w:ascii="Times New Roman" w:hAnsi="Times New Roman" w:eastAsia="仿宋_GB2312"/>
                <w:sz w:val="24"/>
                <w:szCs w:val="24"/>
              </w:rPr>
              <w:t>（应体现攻关的高分子材料/金属材料/无机非金属材料和医疗器械产品</w:t>
            </w:r>
            <w:r>
              <w:rPr>
                <w:rFonts w:hint="eastAsia" w:ascii="Times New Roman" w:hAnsi="Times New Roman" w:eastAsia="仿宋_GB2312"/>
                <w:sz w:val="24"/>
                <w:szCs w:val="24"/>
                <w:lang w:eastAsia="zh-CN"/>
              </w:rPr>
              <w:t>，如用于人工血管的</w:t>
            </w:r>
            <w:r>
              <w:rPr>
                <w:rFonts w:hint="eastAsia" w:ascii="Times New Roman" w:hAnsi="Times New Roman" w:eastAsia="仿宋_GB2312"/>
                <w:sz w:val="24"/>
                <w:szCs w:val="24"/>
              </w:rPr>
              <w:t>医用聚对苯二甲酸乙二酯</w:t>
            </w:r>
            <w:r>
              <w:rPr>
                <w:rFonts w:hint="eastAsia" w:ascii="Times New Roman" w:hAnsi="Times New Roman" w:eastAsia="仿宋_GB2312"/>
                <w:sz w:val="24"/>
                <w:szCs w:val="24"/>
                <w:lang w:eastAsia="zh-CN"/>
              </w:rPr>
              <w:t>研发及应用</w:t>
            </w:r>
            <w:r>
              <w:rPr>
                <w:rFonts w:hint="eastAsia"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申报揭榜挂帅方向</w:t>
            </w:r>
          </w:p>
        </w:tc>
        <w:tc>
          <w:tcPr>
            <w:tcW w:w="73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autoSpaceDE/>
              <w:autoSpaceDN/>
              <w:bidi w:val="0"/>
              <w:adjustRightInd w:val="0"/>
              <w:snapToGrid/>
              <w:spacing w:before="62" w:beforeLines="20" w:line="240" w:lineRule="auto"/>
              <w:ind w:left="0" w:leftChars="0" w:firstLine="0" w:firstLineChars="0"/>
              <w:jc w:val="left"/>
              <w:textAlignment w:val="auto"/>
              <w:outlineLvl w:val="9"/>
              <w:rPr>
                <w:rFonts w:ascii="Times New Roman" w:hAnsi="Times New Roman" w:eastAsia="仿宋_GB2312"/>
                <w:sz w:val="24"/>
                <w:szCs w:val="24"/>
              </w:rPr>
            </w:pPr>
            <w:r>
              <w:rPr>
                <w:rFonts w:ascii="Times New Roman" w:hAnsi="Times New Roman" w:eastAsia="仿宋_GB2312"/>
                <w:sz w:val="24"/>
                <w:szCs w:val="24"/>
              </w:rPr>
              <w:t>□方向1：高分子材料</w:t>
            </w:r>
          </w:p>
          <w:p>
            <w:pPr>
              <w:keepNext w:val="0"/>
              <w:keepLines w:val="0"/>
              <w:pageBreakBefore w:val="0"/>
              <w:shd w:val="clear" w:color="auto" w:fill="auto"/>
              <w:kinsoku/>
              <w:wordWrap/>
              <w:overflowPunct/>
              <w:topLinePunct w:val="0"/>
              <w:autoSpaceDE/>
              <w:autoSpaceDN/>
              <w:bidi w:val="0"/>
              <w:adjustRightInd w:val="0"/>
              <w:snapToGrid/>
              <w:spacing w:before="62" w:beforeLines="20" w:line="240" w:lineRule="auto"/>
              <w:ind w:left="0" w:leftChars="0" w:firstLine="0" w:firstLineChars="0"/>
              <w:jc w:val="left"/>
              <w:textAlignment w:val="auto"/>
              <w:outlineLvl w:val="9"/>
              <w:rPr>
                <w:rFonts w:ascii="Times New Roman" w:hAnsi="Times New Roman" w:eastAsia="仿宋_GB2312"/>
                <w:sz w:val="24"/>
                <w:szCs w:val="24"/>
              </w:rPr>
            </w:pPr>
            <w:r>
              <w:rPr>
                <w:rFonts w:ascii="Times New Roman" w:hAnsi="Times New Roman" w:eastAsia="仿宋_GB2312"/>
                <w:sz w:val="24"/>
                <w:szCs w:val="24"/>
              </w:rPr>
              <w:t>□方向2：金属材料</w:t>
            </w:r>
          </w:p>
          <w:p>
            <w:pPr>
              <w:keepNext w:val="0"/>
              <w:keepLines w:val="0"/>
              <w:pageBreakBefore w:val="0"/>
              <w:shd w:val="clear" w:color="auto" w:fill="auto"/>
              <w:kinsoku/>
              <w:wordWrap/>
              <w:overflowPunct/>
              <w:topLinePunct w:val="0"/>
              <w:autoSpaceDE/>
              <w:autoSpaceDN/>
              <w:bidi w:val="0"/>
              <w:adjustRightInd w:val="0"/>
              <w:snapToGrid/>
              <w:spacing w:before="62" w:beforeLines="20" w:line="240" w:lineRule="auto"/>
              <w:ind w:left="0" w:leftChars="0" w:firstLine="0" w:firstLineChars="0"/>
              <w:jc w:val="left"/>
              <w:textAlignment w:val="auto"/>
              <w:outlineLvl w:val="9"/>
              <w:rPr>
                <w:rFonts w:hint="eastAsia" w:ascii="Times New Roman" w:hAnsi="Times New Roman" w:eastAsia="仿宋_GB2312"/>
                <w:sz w:val="24"/>
                <w:szCs w:val="24"/>
              </w:rPr>
            </w:pPr>
            <w:r>
              <w:rPr>
                <w:rFonts w:ascii="Times New Roman" w:hAnsi="Times New Roman" w:eastAsia="仿宋_GB2312"/>
                <w:sz w:val="24"/>
                <w:szCs w:val="24"/>
              </w:rPr>
              <w:t>□方向3：无机非金属材料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攻关材料名称</w:t>
            </w:r>
          </w:p>
        </w:tc>
        <w:tc>
          <w:tcPr>
            <w:tcW w:w="73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left"/>
              <w:textAlignment w:val="auto"/>
              <w:outlineLvl w:val="9"/>
              <w:rPr>
                <w:rFonts w:hint="eastAsia" w:ascii="Times New Roman" w:hAnsi="Times New Roman" w:eastAsia="仿宋_GB2312"/>
                <w:sz w:val="24"/>
                <w:szCs w:val="24"/>
                <w:highlight w:val="none"/>
                <w:lang w:eastAsia="zh-CN"/>
              </w:rPr>
            </w:pPr>
            <w:r>
              <w:rPr>
                <w:rFonts w:hint="eastAsia" w:ascii="Times New Roman" w:hAnsi="Times New Roman" w:eastAsia="仿宋_GB2312"/>
                <w:sz w:val="24"/>
                <w:szCs w:val="24"/>
                <w:highlight w:val="none"/>
                <w:lang w:eastAsia="zh-CN"/>
              </w:rPr>
              <w:t>（按通知正文中所列明的</w:t>
            </w:r>
            <w:r>
              <w:rPr>
                <w:rFonts w:hint="eastAsia" w:ascii="Times New Roman" w:hAnsi="Times New Roman" w:eastAsia="仿宋_GB2312"/>
                <w:sz w:val="24"/>
                <w:szCs w:val="24"/>
                <w:highlight w:val="none"/>
                <w:lang w:val="en-US" w:eastAsia="zh-CN"/>
              </w:rPr>
              <w:t>39种生物医用材料名称填写</w:t>
            </w:r>
            <w:r>
              <w:rPr>
                <w:rFonts w:hint="eastAsia" w:ascii="Times New Roman" w:hAnsi="Times New Roman" w:eastAsia="仿宋_GB231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攻关器械名称</w:t>
            </w:r>
          </w:p>
        </w:tc>
        <w:tc>
          <w:tcPr>
            <w:tcW w:w="73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left"/>
              <w:textAlignment w:val="auto"/>
              <w:outlineLvl w:val="9"/>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揭榜挂帅任务概述</w:t>
            </w:r>
          </w:p>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c>
          <w:tcPr>
            <w:tcW w:w="73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left"/>
              <w:textAlignment w:val="auto"/>
              <w:outlineLvl w:val="9"/>
              <w:rPr>
                <w:rFonts w:hint="eastAsia" w:ascii="Times New Roman" w:hAnsi="Times New Roman" w:eastAsia="仿宋_GB2312"/>
                <w:sz w:val="24"/>
                <w:szCs w:val="24"/>
              </w:rPr>
            </w:pPr>
            <w:r>
              <w:rPr>
                <w:rFonts w:ascii="Times New Roman" w:hAnsi="Times New Roman" w:eastAsia="仿宋_GB2312"/>
                <w:sz w:val="24"/>
                <w:szCs w:val="24"/>
              </w:rPr>
              <w:t>包括揭榜挂帅任务名称、材料攻关关键环节、创新内容及在医疗器械领域的显著应用价值、现有基础和相关进展，</w:t>
            </w:r>
            <w:r>
              <w:rPr>
                <w:rFonts w:hint="eastAsia" w:ascii="Times New Roman" w:hAnsi="Times New Roman" w:eastAsia="仿宋_GB2312"/>
                <w:sz w:val="24"/>
                <w:szCs w:val="24"/>
              </w:rPr>
              <w:t>自揭榜之日起3年内</w:t>
            </w:r>
            <w:r>
              <w:rPr>
                <w:rFonts w:ascii="Times New Roman" w:hAnsi="Times New Roman" w:eastAsia="仿宋_GB2312"/>
                <w:sz w:val="24"/>
                <w:szCs w:val="24"/>
              </w:rPr>
              <w:t>预期将达到的技术及支撑服务水平等情况（不超过1000字）</w:t>
            </w:r>
            <w:r>
              <w:rPr>
                <w:rFonts w:hint="eastAsia" w:ascii="Times New Roman" w:hAnsi="Times New Roman" w:eastAsia="仿宋_GB2312"/>
                <w:sz w:val="24"/>
                <w:szCs w:val="24"/>
              </w:rPr>
              <w:t>。</w:t>
            </w:r>
          </w:p>
          <w:p>
            <w:pPr>
              <w:keepNext w:val="0"/>
              <w:keepLines w:val="0"/>
              <w:pageBreakBefore w:val="0"/>
              <w:kinsoku/>
              <w:wordWrap/>
              <w:overflowPunct/>
              <w:topLinePunct w:val="0"/>
              <w:autoSpaceDE/>
              <w:autoSpaceDN/>
              <w:bidi w:val="0"/>
              <w:adjustRightInd w:val="0"/>
              <w:snapToGrid/>
              <w:spacing w:line="240" w:lineRule="auto"/>
              <w:ind w:left="0" w:leftChars="0" w:firstLine="0" w:firstLineChars="0"/>
              <w:textAlignment w:val="auto"/>
              <w:outlineLvl w:val="9"/>
              <w:rPr>
                <w:rFonts w:ascii="Times New Roman" w:hAnsi="Times New Roman" w:eastAsia="仿宋_GB2312"/>
                <w:sz w:val="24"/>
                <w:szCs w:val="24"/>
              </w:rPr>
            </w:pPr>
          </w:p>
          <w:p>
            <w:pPr>
              <w:keepNext w:val="0"/>
              <w:keepLines w:val="0"/>
              <w:pageBreakBefore w:val="0"/>
              <w:kinsoku/>
              <w:wordWrap/>
              <w:overflowPunct/>
              <w:topLinePunct w:val="0"/>
              <w:autoSpaceDE/>
              <w:autoSpaceDN/>
              <w:bidi w:val="0"/>
              <w:adjustRightInd w:val="0"/>
              <w:snapToGrid/>
              <w:spacing w:line="240" w:lineRule="auto"/>
              <w:ind w:left="0" w:leftChars="0" w:firstLine="0" w:firstLineChars="0"/>
              <w:textAlignment w:val="auto"/>
              <w:outlineLvl w:val="9"/>
              <w:rPr>
                <w:rFonts w:ascii="Times New Roman" w:hAnsi="Times New Roman" w:eastAsia="仿宋_GB2312"/>
                <w:sz w:val="24"/>
                <w:szCs w:val="24"/>
              </w:rPr>
            </w:pPr>
          </w:p>
          <w:p>
            <w:pPr>
              <w:keepNext w:val="0"/>
              <w:keepLines w:val="0"/>
              <w:pageBreakBefore w:val="0"/>
              <w:kinsoku/>
              <w:wordWrap/>
              <w:overflowPunct/>
              <w:topLinePunct w:val="0"/>
              <w:autoSpaceDE/>
              <w:autoSpaceDN/>
              <w:bidi w:val="0"/>
              <w:adjustRightInd w:val="0"/>
              <w:snapToGrid/>
              <w:spacing w:line="240" w:lineRule="auto"/>
              <w:ind w:left="0" w:leftChars="0" w:firstLine="0" w:firstLineChars="0"/>
              <w:jc w:val="left"/>
              <w:textAlignment w:val="auto"/>
              <w:outlineLvl w:val="9"/>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真实性承诺</w:t>
            </w:r>
          </w:p>
        </w:tc>
        <w:tc>
          <w:tcPr>
            <w:tcW w:w="737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textAlignment w:val="auto"/>
              <w:outlineLvl w:val="9"/>
              <w:rPr>
                <w:rFonts w:ascii="Times New Roman" w:hAnsi="Times New Roman" w:eastAsia="仿宋_GB2312"/>
                <w:kern w:val="0"/>
                <w:sz w:val="24"/>
                <w:szCs w:val="24"/>
              </w:rPr>
            </w:pPr>
            <w:r>
              <w:rPr>
                <w:rFonts w:ascii="Times New Roman" w:hAnsi="Times New Roman" w:eastAsia="仿宋_GB2312"/>
                <w:kern w:val="0"/>
                <w:sz w:val="24"/>
                <w:szCs w:val="24"/>
              </w:rPr>
              <w:t>我单位申报的所有材料，均真实、完整，如有不实，愿承担相应的责任。</w:t>
            </w:r>
          </w:p>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textAlignment w:val="auto"/>
              <w:outlineLvl w:val="9"/>
              <w:rPr>
                <w:rFonts w:ascii="Times New Roman" w:hAnsi="Times New Roman" w:eastAsia="仿宋_GB2312"/>
                <w:kern w:val="0"/>
                <w:sz w:val="24"/>
                <w:szCs w:val="24"/>
              </w:rPr>
            </w:pPr>
          </w:p>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kern w:val="0"/>
                <w:sz w:val="24"/>
                <w:szCs w:val="24"/>
              </w:rPr>
            </w:pPr>
          </w:p>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kern w:val="0"/>
                <w:sz w:val="24"/>
                <w:szCs w:val="24"/>
              </w:rPr>
            </w:pPr>
            <w:r>
              <w:rPr>
                <w:rFonts w:ascii="Times New Roman" w:hAnsi="Times New Roman" w:eastAsia="仿宋_GB2312"/>
                <w:kern w:val="0"/>
                <w:sz w:val="24"/>
                <w:szCs w:val="24"/>
              </w:rPr>
              <w:t xml:space="preserve">                负责人签字（章）：</w:t>
            </w:r>
          </w:p>
          <w:p>
            <w:pPr>
              <w:keepNext w:val="0"/>
              <w:keepLines w:val="0"/>
              <w:pageBreakBefore w:val="0"/>
              <w:kinsoku/>
              <w:wordWrap/>
              <w:overflowPunct/>
              <w:topLinePunct w:val="0"/>
              <w:autoSpaceDE/>
              <w:autoSpaceDN/>
              <w:bidi w:val="0"/>
              <w:adjustRightInd w:val="0"/>
              <w:snapToGrid/>
              <w:spacing w:before="62" w:beforeLines="20" w:line="240" w:lineRule="auto"/>
              <w:ind w:left="0" w:leftChars="0" w:firstLine="0" w:firstLineChars="0"/>
              <w:jc w:val="center"/>
              <w:textAlignment w:val="auto"/>
              <w:outlineLvl w:val="9"/>
              <w:rPr>
                <w:rFonts w:ascii="Times New Roman" w:hAnsi="Times New Roman" w:eastAsia="仿宋_GB2312"/>
                <w:kern w:val="0"/>
                <w:sz w:val="24"/>
                <w:szCs w:val="24"/>
              </w:rPr>
            </w:pPr>
            <w:r>
              <w:rPr>
                <w:rFonts w:ascii="Times New Roman" w:hAnsi="Times New Roman" w:eastAsia="仿宋_GB2312"/>
                <w:kern w:val="0"/>
                <w:sz w:val="24"/>
                <w:szCs w:val="24"/>
              </w:rPr>
              <w:t xml:space="preserve">                            公章：</w:t>
            </w:r>
          </w:p>
          <w:p>
            <w:pPr>
              <w:keepNext w:val="0"/>
              <w:keepLines w:val="0"/>
              <w:pageBreakBefore w:val="0"/>
              <w:kinsoku/>
              <w:wordWrap/>
              <w:overflowPunct/>
              <w:topLinePunct w:val="0"/>
              <w:autoSpaceDE/>
              <w:autoSpaceDN/>
              <w:bidi w:val="0"/>
              <w:adjustRightInd w:val="0"/>
              <w:snapToGrid/>
              <w:spacing w:line="240" w:lineRule="auto"/>
              <w:ind w:left="0" w:leftChars="0" w:firstLine="0" w:firstLineChars="0"/>
              <w:jc w:val="center"/>
              <w:textAlignment w:val="auto"/>
              <w:outlineLvl w:val="9"/>
              <w:rPr>
                <w:rFonts w:ascii="Times New Roman" w:hAnsi="Times New Roman" w:eastAsia="仿宋_GB2312"/>
                <w:sz w:val="24"/>
                <w:szCs w:val="24"/>
              </w:rPr>
            </w:pPr>
            <w:r>
              <w:rPr>
                <w:rFonts w:ascii="Times New Roman" w:hAnsi="Times New Roman" w:eastAsia="仿宋_GB2312"/>
                <w:sz w:val="24"/>
                <w:szCs w:val="24"/>
              </w:rPr>
              <w:t xml:space="preserve">                                年   月   日</w:t>
            </w:r>
          </w:p>
        </w:tc>
      </w:tr>
    </w:tbl>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outlineLvl w:val="9"/>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二、揭榜挂帅任务书</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before="156" w:line="600" w:lineRule="exact"/>
        <w:ind w:firstLine="641"/>
        <w:textAlignment w:val="auto"/>
        <w:outlineLvl w:val="9"/>
        <w:rPr>
          <w:rFonts w:ascii="Times New Roman" w:hAnsi="Times New Roman" w:eastAsia="楷体_GB2312"/>
          <w:b/>
          <w:sz w:val="32"/>
          <w:szCs w:val="32"/>
        </w:rPr>
      </w:pPr>
      <w:r>
        <w:rPr>
          <w:rFonts w:ascii="Times New Roman" w:hAnsi="Times New Roman" w:eastAsia="楷体_GB2312"/>
          <w:b/>
          <w:sz w:val="32"/>
          <w:szCs w:val="32"/>
        </w:rPr>
        <w:t>（一）揭榜挂帅任务介绍</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1.揭榜挂帅任务名称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应体现</w:t>
      </w:r>
      <w:r>
        <w:rPr>
          <w:rFonts w:ascii="Times New Roman" w:hAnsi="Times New Roman" w:eastAsia="仿宋_GB2312"/>
          <w:sz w:val="32"/>
          <w:szCs w:val="32"/>
        </w:rPr>
        <w:t>攻关</w:t>
      </w:r>
      <w:r>
        <w:rPr>
          <w:rFonts w:hint="eastAsia" w:ascii="Times New Roman" w:hAnsi="Times New Roman" w:eastAsia="仿宋_GB2312"/>
          <w:sz w:val="32"/>
          <w:szCs w:val="32"/>
        </w:rPr>
        <w:t>的高分子材料/金属材料/</w:t>
      </w:r>
      <w:r>
        <w:rPr>
          <w:rFonts w:ascii="Times New Roman" w:hAnsi="Times New Roman" w:eastAsia="仿宋_GB2312"/>
          <w:sz w:val="32"/>
          <w:szCs w:val="32"/>
        </w:rPr>
        <w:t>无机非金属材料</w:t>
      </w:r>
      <w:r>
        <w:rPr>
          <w:rFonts w:hint="eastAsia" w:ascii="Times New Roman" w:hAnsi="Times New Roman" w:eastAsia="仿宋_GB2312"/>
          <w:sz w:val="32"/>
          <w:szCs w:val="32"/>
        </w:rPr>
        <w:t>，及其应用的医疗器械产品</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rPr>
      </w:pPr>
      <w:bookmarkStart w:id="0" w:name="_Hlk181779070"/>
      <w:r>
        <w:rPr>
          <w:rFonts w:ascii="Times New Roman" w:hAnsi="Times New Roman" w:eastAsia="仿宋_GB2312"/>
          <w:b/>
          <w:sz w:val="32"/>
          <w:szCs w:val="32"/>
        </w:rPr>
        <w:t>2.材料攻关关键环节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应明确</w:t>
      </w:r>
      <w:r>
        <w:rPr>
          <w:rFonts w:hint="eastAsia" w:ascii="Times New Roman" w:hAnsi="Times New Roman" w:eastAsia="仿宋_GB2312"/>
          <w:sz w:val="32"/>
          <w:szCs w:val="32"/>
        </w:rPr>
        <w:t>材料攻关</w:t>
      </w:r>
      <w:r>
        <w:rPr>
          <w:rFonts w:ascii="Times New Roman" w:hAnsi="Times New Roman" w:eastAsia="仿宋_GB2312"/>
          <w:sz w:val="32"/>
          <w:szCs w:val="32"/>
        </w:rPr>
        <w:t>的</w:t>
      </w:r>
      <w:r>
        <w:rPr>
          <w:rFonts w:hint="eastAsia" w:ascii="Times New Roman" w:hAnsi="Times New Roman" w:eastAsia="仿宋_GB2312"/>
          <w:sz w:val="32"/>
          <w:szCs w:val="32"/>
        </w:rPr>
        <w:t>难点及关键环节，以及攻关所要求的技术水平</w:t>
      </w:r>
      <w:r>
        <w:rPr>
          <w:rFonts w:ascii="Times New Roman" w:hAnsi="Times New Roman" w:eastAsia="仿宋_GB2312"/>
          <w:sz w:val="32"/>
          <w:szCs w:val="32"/>
        </w:rPr>
        <w:t>。</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3</w:t>
      </w:r>
      <w:r>
        <w:rPr>
          <w:rFonts w:ascii="Times New Roman" w:hAnsi="Times New Roman" w:eastAsia="仿宋_GB2312"/>
          <w:b/>
          <w:sz w:val="32"/>
          <w:szCs w:val="32"/>
          <w:highlight w:val="none"/>
        </w:rPr>
        <w:t>.</w:t>
      </w:r>
      <w:r>
        <w:rPr>
          <w:rFonts w:hint="eastAsia" w:ascii="Times New Roman" w:hAnsi="Times New Roman" w:eastAsia="仿宋_GB2312"/>
          <w:b/>
          <w:sz w:val="32"/>
          <w:szCs w:val="32"/>
          <w:highlight w:val="none"/>
        </w:rPr>
        <w:t>医疗器械</w:t>
      </w:r>
      <w:r>
        <w:rPr>
          <w:rFonts w:ascii="Times New Roman" w:hAnsi="Times New Roman" w:eastAsia="仿宋_GB2312"/>
          <w:b/>
          <w:sz w:val="32"/>
          <w:szCs w:val="32"/>
          <w:highlight w:val="none"/>
        </w:rPr>
        <w:t>攻关关键环节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应明确</w:t>
      </w:r>
      <w:r>
        <w:rPr>
          <w:rFonts w:hint="eastAsia" w:ascii="Times New Roman" w:hAnsi="Times New Roman" w:eastAsia="仿宋_GB2312"/>
          <w:sz w:val="32"/>
          <w:szCs w:val="32"/>
          <w:highlight w:val="none"/>
        </w:rPr>
        <w:t>医疗器械攻关</w:t>
      </w:r>
      <w:r>
        <w:rPr>
          <w:rFonts w:ascii="Times New Roman" w:hAnsi="Times New Roman" w:eastAsia="仿宋_GB2312"/>
          <w:sz w:val="32"/>
          <w:szCs w:val="32"/>
          <w:highlight w:val="none"/>
        </w:rPr>
        <w:t>的</w:t>
      </w:r>
      <w:r>
        <w:rPr>
          <w:rFonts w:hint="eastAsia" w:ascii="Times New Roman" w:hAnsi="Times New Roman" w:eastAsia="仿宋_GB2312"/>
          <w:sz w:val="32"/>
          <w:szCs w:val="32"/>
          <w:highlight w:val="none"/>
        </w:rPr>
        <w:t>难点及关键环节，以及攻关所要求的技术水平</w:t>
      </w:r>
      <w:r>
        <w:rPr>
          <w:rFonts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4</w:t>
      </w:r>
      <w:r>
        <w:rPr>
          <w:rFonts w:ascii="Times New Roman" w:hAnsi="Times New Roman" w:eastAsia="仿宋_GB2312"/>
          <w:b/>
          <w:sz w:val="32"/>
          <w:szCs w:val="32"/>
          <w:highlight w:val="none"/>
        </w:rPr>
        <w:t>.</w:t>
      </w:r>
      <w:r>
        <w:rPr>
          <w:rFonts w:hint="eastAsia" w:ascii="Times New Roman" w:hAnsi="Times New Roman" w:eastAsia="仿宋_GB2312"/>
          <w:b/>
          <w:sz w:val="32"/>
          <w:szCs w:val="32"/>
          <w:highlight w:val="none"/>
        </w:rPr>
        <w:t>攻关材料</w:t>
      </w:r>
      <w:r>
        <w:rPr>
          <w:rFonts w:ascii="Times New Roman" w:hAnsi="Times New Roman" w:eastAsia="仿宋_GB2312"/>
          <w:b/>
          <w:sz w:val="32"/>
          <w:szCs w:val="32"/>
          <w:highlight w:val="none"/>
        </w:rPr>
        <w:t>在医疗器械领域的显著应用价值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rPr>
      </w:pPr>
      <w:r>
        <w:rPr>
          <w:rFonts w:ascii="Times New Roman" w:hAnsi="Times New Roman" w:eastAsia="仿宋_GB2312"/>
          <w:sz w:val="32"/>
          <w:szCs w:val="32"/>
          <w:highlight w:val="none"/>
        </w:rPr>
        <w:t>应阐述</w:t>
      </w:r>
      <w:r>
        <w:rPr>
          <w:rFonts w:hint="eastAsia" w:ascii="Times New Roman" w:hAnsi="Times New Roman" w:eastAsia="仿宋_GB2312"/>
          <w:sz w:val="32"/>
          <w:szCs w:val="32"/>
          <w:highlight w:val="none"/>
        </w:rPr>
        <w:t>攻关材料在所应用医疗器械领域的国内外应用情况，与当前已有产品的对比情况、显著优势、创新内容等。</w:t>
      </w:r>
    </w:p>
    <w:p>
      <w:pPr>
        <w:keepNext w:val="0"/>
        <w:keepLines w:val="0"/>
        <w:pageBreakBefore w:val="0"/>
        <w:widowControl w:val="0"/>
        <w:kinsoku/>
        <w:wordWrap/>
        <w:overflowPunct/>
        <w:topLinePunct w:val="0"/>
        <w:autoSpaceDE/>
        <w:autoSpaceDN/>
        <w:bidi w:val="0"/>
        <w:adjustRightInd/>
        <w:snapToGrid/>
        <w:spacing w:before="156" w:line="600" w:lineRule="exact"/>
        <w:ind w:firstLine="641"/>
        <w:textAlignment w:val="auto"/>
        <w:outlineLvl w:val="9"/>
        <w:rPr>
          <w:rFonts w:ascii="Times New Roman" w:hAnsi="Times New Roman" w:eastAsia="楷体_GB2312"/>
          <w:b/>
          <w:sz w:val="32"/>
          <w:szCs w:val="32"/>
        </w:rPr>
      </w:pPr>
      <w:r>
        <w:rPr>
          <w:rFonts w:ascii="Times New Roman" w:hAnsi="Times New Roman" w:eastAsia="楷体_GB2312"/>
          <w:b/>
          <w:sz w:val="32"/>
          <w:szCs w:val="32"/>
        </w:rPr>
        <w:t>（二）揭榜挂帅单位现有基础及相关进展</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1.现有基础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揭榜</w:t>
      </w:r>
      <w:r>
        <w:rPr>
          <w:rFonts w:hint="eastAsia" w:ascii="Times New Roman" w:hAnsi="Times New Roman" w:eastAsia="仿宋_GB2312"/>
          <w:sz w:val="32"/>
          <w:szCs w:val="32"/>
        </w:rPr>
        <w:t>挂帅</w:t>
      </w:r>
      <w:r>
        <w:rPr>
          <w:rFonts w:ascii="Times New Roman" w:hAnsi="Times New Roman" w:eastAsia="仿宋_GB2312"/>
          <w:sz w:val="32"/>
          <w:szCs w:val="32"/>
        </w:rPr>
        <w:t>单位行业地位、科研资质（如高新技术企业、企业技术中心、重点实验室等）、技术基础、人才与团队实力、主要优势等。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揭榜</w:t>
      </w:r>
      <w:r>
        <w:rPr>
          <w:rFonts w:hint="eastAsia" w:ascii="Times New Roman" w:hAnsi="Times New Roman" w:eastAsia="仿宋_GB2312"/>
          <w:sz w:val="32"/>
          <w:szCs w:val="32"/>
        </w:rPr>
        <w:t>挂帅</w:t>
      </w:r>
      <w:r>
        <w:rPr>
          <w:rFonts w:ascii="Times New Roman" w:hAnsi="Times New Roman" w:eastAsia="仿宋_GB2312"/>
          <w:sz w:val="32"/>
          <w:szCs w:val="32"/>
        </w:rPr>
        <w:t>单位创新能力，如获得论文、专利、软件著作权、标准、专著、比赛奖励等。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揭榜</w:t>
      </w:r>
      <w:r>
        <w:rPr>
          <w:rFonts w:hint="eastAsia" w:ascii="Times New Roman" w:hAnsi="Times New Roman" w:eastAsia="仿宋_GB2312"/>
          <w:sz w:val="32"/>
          <w:szCs w:val="32"/>
        </w:rPr>
        <w:t>挂帅</w:t>
      </w:r>
      <w:r>
        <w:rPr>
          <w:rFonts w:ascii="Times New Roman" w:hAnsi="Times New Roman" w:eastAsia="仿宋_GB2312"/>
          <w:sz w:val="32"/>
          <w:szCs w:val="32"/>
        </w:rPr>
        <w:t>负责人资质及工作经验</w:t>
      </w:r>
      <w:r>
        <w:rPr>
          <w:rFonts w:hint="eastAsia" w:ascii="Times New Roman" w:hAnsi="Times New Roman" w:eastAsia="仿宋_GB2312"/>
          <w:sz w:val="32"/>
          <w:szCs w:val="32"/>
        </w:rPr>
        <w:t>以及</w:t>
      </w:r>
      <w:r>
        <w:rPr>
          <w:rFonts w:ascii="Times New Roman" w:hAnsi="Times New Roman" w:eastAsia="仿宋_GB2312"/>
          <w:sz w:val="32"/>
          <w:szCs w:val="32"/>
        </w:rPr>
        <w:t>项目团队承担国家相关项目情况等。</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2.相关进展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揭榜</w:t>
      </w:r>
      <w:r>
        <w:rPr>
          <w:rFonts w:hint="eastAsia" w:ascii="Times New Roman" w:hAnsi="Times New Roman" w:eastAsia="仿宋_GB2312"/>
          <w:sz w:val="32"/>
          <w:szCs w:val="32"/>
        </w:rPr>
        <w:t>挂帅</w:t>
      </w:r>
      <w:r>
        <w:rPr>
          <w:rFonts w:ascii="Times New Roman" w:hAnsi="Times New Roman" w:eastAsia="仿宋_GB2312"/>
          <w:sz w:val="32"/>
          <w:szCs w:val="32"/>
        </w:rPr>
        <w:t>单位重点攻关</w:t>
      </w:r>
      <w:r>
        <w:rPr>
          <w:rFonts w:hint="eastAsia" w:ascii="Times New Roman" w:hAnsi="Times New Roman" w:eastAsia="仿宋_GB2312"/>
          <w:sz w:val="32"/>
          <w:szCs w:val="32"/>
        </w:rPr>
        <w:t>材料及其医疗器械产品</w:t>
      </w:r>
      <w:r>
        <w:rPr>
          <w:rFonts w:ascii="Times New Roman" w:hAnsi="Times New Roman" w:eastAsia="仿宋_GB2312"/>
          <w:sz w:val="32"/>
          <w:szCs w:val="32"/>
        </w:rPr>
        <w:t>的现有技术水平（对比国际先进水平）、创新及应用情况、相关研发人员、资金投入情况等。</w:t>
      </w:r>
    </w:p>
    <w:p>
      <w:pPr>
        <w:keepNext w:val="0"/>
        <w:keepLines w:val="0"/>
        <w:pageBreakBefore w:val="0"/>
        <w:widowControl w:val="0"/>
        <w:kinsoku/>
        <w:wordWrap/>
        <w:overflowPunct/>
        <w:topLinePunct w:val="0"/>
        <w:autoSpaceDE/>
        <w:autoSpaceDN/>
        <w:bidi w:val="0"/>
        <w:adjustRightInd/>
        <w:snapToGrid/>
        <w:spacing w:before="156" w:line="600" w:lineRule="exact"/>
        <w:ind w:firstLine="641"/>
        <w:textAlignment w:val="auto"/>
        <w:outlineLvl w:val="9"/>
        <w:rPr>
          <w:rFonts w:ascii="Times New Roman" w:hAnsi="Times New Roman" w:eastAsia="楷体_GB2312"/>
          <w:b/>
          <w:sz w:val="32"/>
          <w:szCs w:val="32"/>
        </w:rPr>
      </w:pPr>
      <w:r>
        <w:rPr>
          <w:rFonts w:ascii="Times New Roman" w:hAnsi="Times New Roman" w:eastAsia="楷体_GB2312"/>
          <w:b/>
          <w:sz w:val="32"/>
          <w:szCs w:val="32"/>
        </w:rPr>
        <w:t>（三）重点攻关目标及计划</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1.预期目标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攻关</w:t>
      </w:r>
      <w:r>
        <w:rPr>
          <w:rFonts w:hint="eastAsia" w:ascii="Times New Roman" w:hAnsi="Times New Roman" w:eastAsia="仿宋_GB2312"/>
          <w:sz w:val="32"/>
          <w:szCs w:val="32"/>
        </w:rPr>
        <w:t>材料</w:t>
      </w:r>
      <w:r>
        <w:rPr>
          <w:rFonts w:ascii="Times New Roman" w:hAnsi="Times New Roman" w:eastAsia="仿宋_GB2312"/>
          <w:sz w:val="32"/>
          <w:szCs w:val="32"/>
        </w:rPr>
        <w:t>应详述实现其预期用途的工作原理，</w:t>
      </w:r>
      <w:r>
        <w:rPr>
          <w:rFonts w:hint="eastAsia" w:ascii="Times New Roman" w:hAnsi="Times New Roman" w:eastAsia="仿宋_GB2312"/>
          <w:sz w:val="32"/>
          <w:szCs w:val="32"/>
        </w:rPr>
        <w:t>技术</w:t>
      </w:r>
      <w:r>
        <w:rPr>
          <w:rFonts w:ascii="Times New Roman" w:hAnsi="Times New Roman" w:eastAsia="仿宋_GB2312"/>
          <w:sz w:val="32"/>
          <w:szCs w:val="32"/>
        </w:rPr>
        <w:t>能力的指标要求，主要技术指标的检验方法和测试场景。</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2.重点任务攻关计划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highlight w:val="none"/>
        </w:rPr>
      </w:pPr>
      <w:r>
        <w:rPr>
          <w:rFonts w:ascii="Times New Roman" w:hAnsi="Times New Roman" w:eastAsia="仿宋_GB2312"/>
          <w:sz w:val="32"/>
          <w:szCs w:val="32"/>
        </w:rPr>
        <w:t>时间进度、阶段性任务、细化目标等</w:t>
      </w:r>
      <w:r>
        <w:rPr>
          <w:rFonts w:hint="eastAsia" w:ascii="Times New Roman" w:hAnsi="Times New Roman" w:eastAsia="仿宋_GB2312"/>
          <w:sz w:val="32"/>
          <w:szCs w:val="32"/>
          <w:highlight w:val="none"/>
        </w:rPr>
        <w:t>（建议以甘特图形式列明上游材料及下游器械的具体攻关任务节点及时间安排）</w:t>
      </w:r>
      <w:r>
        <w:rPr>
          <w:rFonts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rPr>
      </w:pPr>
      <w:r>
        <w:rPr>
          <w:rFonts w:ascii="Times New Roman" w:hAnsi="Times New Roman" w:eastAsia="仿宋_GB2312"/>
          <w:b/>
          <w:sz w:val="32"/>
          <w:szCs w:val="32"/>
        </w:rPr>
        <w:t>3.组织保障机制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攻关团队、组织方式、协调机制、</w:t>
      </w:r>
      <w:r>
        <w:rPr>
          <w:rFonts w:hint="eastAsia" w:ascii="Times New Roman" w:hAnsi="Times New Roman" w:eastAsia="仿宋_GB2312"/>
          <w:sz w:val="32"/>
          <w:szCs w:val="32"/>
        </w:rPr>
        <w:t>上下游</w:t>
      </w:r>
      <w:r>
        <w:rPr>
          <w:rFonts w:ascii="Times New Roman" w:hAnsi="Times New Roman" w:eastAsia="仿宋_GB2312"/>
          <w:sz w:val="32"/>
          <w:szCs w:val="32"/>
        </w:rPr>
        <w:t>产学研用情况（如参与单位工作基础、支撑能力等）、协同创新能力（如团队成员项目合作、联合实验室等）。</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b/>
          <w:sz w:val="32"/>
          <w:szCs w:val="32"/>
        </w:rPr>
      </w:pPr>
      <w:r>
        <w:rPr>
          <w:rFonts w:hint="eastAsia" w:ascii="Times New Roman" w:hAnsi="Times New Roman" w:eastAsia="楷体"/>
          <w:b/>
          <w:sz w:val="32"/>
          <w:szCs w:val="32"/>
        </w:rPr>
        <w:t>4.</w:t>
      </w:r>
      <w:r>
        <w:rPr>
          <w:rFonts w:ascii="Times New Roman" w:hAnsi="Times New Roman" w:eastAsia="仿宋_GB2312"/>
          <w:b/>
          <w:sz w:val="32"/>
          <w:szCs w:val="32"/>
        </w:rPr>
        <w:t>潜在问题及应对举措</w:t>
      </w:r>
    </w:p>
    <w:p>
      <w:pPr>
        <w:keepNext w:val="0"/>
        <w:keepLines w:val="0"/>
        <w:pageBreakBefore w:val="0"/>
        <w:widowControl w:val="0"/>
        <w:kinsoku/>
        <w:wordWrap/>
        <w:overflowPunct/>
        <w:topLinePunct w:val="0"/>
        <w:autoSpaceDE/>
        <w:autoSpaceDN/>
        <w:bidi w:val="0"/>
        <w:adjustRightInd/>
        <w:snapToGrid/>
        <w:spacing w:before="156" w:line="600" w:lineRule="exact"/>
        <w:ind w:firstLine="641"/>
        <w:textAlignment w:val="auto"/>
        <w:outlineLvl w:val="9"/>
        <w:rPr>
          <w:rFonts w:ascii="Times New Roman" w:hAnsi="Times New Roman" w:eastAsia="楷体_GB2312"/>
          <w:b/>
          <w:sz w:val="32"/>
          <w:szCs w:val="32"/>
        </w:rPr>
      </w:pPr>
      <w:r>
        <w:rPr>
          <w:rFonts w:ascii="Times New Roman" w:hAnsi="Times New Roman" w:eastAsia="楷体_GB2312"/>
          <w:b/>
          <w:sz w:val="32"/>
          <w:szCs w:val="32"/>
        </w:rPr>
        <w:t>（四）其他相关事项说明</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注：如果申报多个领域，请按此模板分别填报任务书。</w:t>
      </w:r>
    </w:p>
    <w:p>
      <w:pPr>
        <w:keepNext w:val="0"/>
        <w:keepLines w:val="0"/>
        <w:pageBreakBefore w:val="0"/>
        <w:kinsoku/>
        <w:wordWrap/>
        <w:overflowPunct/>
        <w:topLinePunct w:val="0"/>
        <w:autoSpaceDE/>
        <w:autoSpaceDN/>
        <w:bidi w:val="0"/>
        <w:adjustRightInd/>
        <w:snapToGrid/>
        <w:spacing w:line="600" w:lineRule="exact"/>
        <w:ind w:firstLine="643"/>
        <w:textAlignment w:val="auto"/>
        <w:outlineLvl w:val="9"/>
        <w:rPr>
          <w:rFonts w:ascii="Times New Roman" w:hAnsi="Times New Roman" w:eastAsia="仿宋_GB2312"/>
          <w:sz w:val="32"/>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申报单位相关证明材料</w:t>
      </w:r>
    </w:p>
    <w:p>
      <w:pPr>
        <w:pStyle w:val="2"/>
        <w:keepNext w:val="0"/>
        <w:keepLines w:val="0"/>
        <w:pageBreakBefore w:val="0"/>
        <w:kinsoku/>
        <w:wordWrap/>
        <w:overflowPunct/>
        <w:topLinePunct w:val="0"/>
        <w:autoSpaceDE/>
        <w:autoSpaceDN/>
        <w:bidi w:val="0"/>
        <w:spacing w:after="0" w:afterLines="0" w:line="600" w:lineRule="exact"/>
        <w:textAlignment w:val="auto"/>
        <w:rPr>
          <w:rFonts w:hint="eastAsia"/>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（一）牵头</w:t>
      </w:r>
      <w:r>
        <w:rPr>
          <w:rFonts w:ascii="Times New Roman" w:hAnsi="Times New Roman" w:eastAsia="仿宋_GB2312"/>
          <w:sz w:val="32"/>
          <w:szCs w:val="32"/>
        </w:rPr>
        <w:t>单位上一财年研发投入证明材料。（财务会计报表等）</w:t>
      </w:r>
    </w:p>
    <w:p>
      <w:pPr>
        <w:pStyle w:val="2"/>
        <w:keepNext w:val="0"/>
        <w:keepLines w:val="0"/>
        <w:pageBreakBefore w:val="0"/>
        <w:kinsoku/>
        <w:wordWrap/>
        <w:overflowPunct/>
        <w:topLinePunct w:val="0"/>
        <w:autoSpaceDE/>
        <w:autoSpaceDN/>
        <w:bidi w:val="0"/>
        <w:spacing w:after="0" w:afterLines="0" w:line="600" w:lineRule="exact"/>
        <w:textAlignment w:val="auto"/>
        <w:rPr>
          <w:rFonts w:hint="eastAsia"/>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（二）牵头</w:t>
      </w:r>
      <w:r>
        <w:rPr>
          <w:rFonts w:ascii="Times New Roman" w:hAnsi="Times New Roman" w:eastAsia="仿宋_GB2312"/>
          <w:sz w:val="32"/>
          <w:szCs w:val="32"/>
        </w:rPr>
        <w:t>单位相关科研资质证明材料。（高新技术企业、企业技术中心、重点实验室等相关证明材料）</w:t>
      </w:r>
    </w:p>
    <w:p>
      <w:pPr>
        <w:pStyle w:val="2"/>
        <w:keepNext w:val="0"/>
        <w:keepLines w:val="0"/>
        <w:pageBreakBefore w:val="0"/>
        <w:kinsoku/>
        <w:wordWrap/>
        <w:overflowPunct/>
        <w:topLinePunct w:val="0"/>
        <w:autoSpaceDE/>
        <w:autoSpaceDN/>
        <w:bidi w:val="0"/>
        <w:spacing w:after="0" w:afterLines="0" w:line="600" w:lineRule="exact"/>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（三）牵头</w:t>
      </w:r>
      <w:r>
        <w:rPr>
          <w:rFonts w:ascii="Times New Roman" w:hAnsi="Times New Roman" w:eastAsia="仿宋_GB2312"/>
          <w:sz w:val="32"/>
          <w:szCs w:val="32"/>
        </w:rPr>
        <w:t>单位创新能力证明材料。（获得论文、专利、软件著作权、标准、专著、比赛奖励等）</w:t>
      </w:r>
    </w:p>
    <w:p>
      <w:pPr>
        <w:pStyle w:val="2"/>
        <w:keepNext w:val="0"/>
        <w:keepLines w:val="0"/>
        <w:pageBreakBefore w:val="0"/>
        <w:kinsoku/>
        <w:wordWrap/>
        <w:overflowPunct/>
        <w:topLinePunct w:val="0"/>
        <w:autoSpaceDE/>
        <w:autoSpaceDN/>
        <w:bidi w:val="0"/>
        <w:spacing w:after="0" w:afterLines="0" w:line="600" w:lineRule="exact"/>
        <w:textAlignment w:val="auto"/>
        <w:rPr>
          <w:rFonts w:ascii="Times New Roman" w:hAnsi="Times New Roman"/>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sz w:val="32"/>
          <w:szCs w:val="32"/>
          <w:lang w:eastAsia="zh-CN"/>
        </w:rPr>
      </w:pPr>
      <w:bookmarkStart w:id="1" w:name="_Hlk181777642"/>
      <w:r>
        <w:rPr>
          <w:rFonts w:hint="eastAsia" w:ascii="Times New Roman" w:hAnsi="Times New Roman" w:eastAsia="仿宋_GB2312"/>
          <w:sz w:val="32"/>
          <w:szCs w:val="32"/>
        </w:rPr>
        <w:t>（四）</w:t>
      </w:r>
      <w:r>
        <w:rPr>
          <w:rFonts w:ascii="Times New Roman" w:hAnsi="Times New Roman" w:eastAsia="仿宋_GB2312"/>
          <w:sz w:val="32"/>
          <w:szCs w:val="32"/>
        </w:rPr>
        <w:t>攻关</w:t>
      </w:r>
      <w:r>
        <w:rPr>
          <w:rFonts w:hint="eastAsia" w:ascii="Times New Roman" w:hAnsi="Times New Roman" w:eastAsia="仿宋_GB2312"/>
          <w:sz w:val="32"/>
          <w:szCs w:val="32"/>
        </w:rPr>
        <w:t>材料</w:t>
      </w:r>
      <w:r>
        <w:rPr>
          <w:rFonts w:ascii="Times New Roman" w:hAnsi="Times New Roman" w:eastAsia="仿宋_GB2312"/>
          <w:sz w:val="32"/>
          <w:szCs w:val="32"/>
        </w:rPr>
        <w:t>当前性能指标证明材料。（如</w:t>
      </w:r>
      <w:r>
        <w:rPr>
          <w:rFonts w:hint="eastAsia" w:ascii="Times New Roman" w:hAnsi="Times New Roman" w:eastAsia="仿宋_GB2312"/>
          <w:sz w:val="32"/>
          <w:szCs w:val="32"/>
        </w:rPr>
        <w:t>材料性能测试报告</w:t>
      </w:r>
      <w:r>
        <w:rPr>
          <w:rFonts w:ascii="Times New Roman" w:hAnsi="Times New Roman" w:eastAsia="仿宋_GB2312"/>
          <w:sz w:val="32"/>
          <w:szCs w:val="32"/>
        </w:rPr>
        <w:t>等）</w:t>
      </w:r>
      <w:r>
        <w:rPr>
          <w:rFonts w:hint="eastAsia" w:ascii="Times New Roman" w:hAnsi="Times New Roman" w:eastAsia="仿宋_GB2312"/>
          <w:sz w:val="32"/>
          <w:szCs w:val="32"/>
          <w:lang w:eastAsia="zh-CN"/>
        </w:rPr>
        <w:t>（如有）</w:t>
      </w:r>
    </w:p>
    <w:bookmarkEnd w:id="1"/>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（五）</w:t>
      </w:r>
      <w:r>
        <w:rPr>
          <w:rFonts w:ascii="Times New Roman" w:hAnsi="Times New Roman" w:eastAsia="仿宋_GB2312"/>
          <w:sz w:val="32"/>
          <w:szCs w:val="32"/>
          <w:highlight w:val="none"/>
        </w:rPr>
        <w:t>攻关</w:t>
      </w:r>
      <w:r>
        <w:rPr>
          <w:rFonts w:hint="eastAsia" w:ascii="Times New Roman" w:hAnsi="Times New Roman" w:eastAsia="仿宋_GB2312"/>
          <w:sz w:val="32"/>
          <w:szCs w:val="32"/>
          <w:highlight w:val="none"/>
        </w:rPr>
        <w:t>医疗器械产品</w:t>
      </w:r>
      <w:r>
        <w:rPr>
          <w:rFonts w:ascii="Times New Roman" w:hAnsi="Times New Roman" w:eastAsia="仿宋_GB2312"/>
          <w:sz w:val="32"/>
          <w:szCs w:val="32"/>
          <w:highlight w:val="none"/>
        </w:rPr>
        <w:t>效果证明材料。（如</w:t>
      </w:r>
      <w:r>
        <w:rPr>
          <w:rFonts w:hint="eastAsia" w:ascii="Times New Roman" w:hAnsi="Times New Roman" w:eastAsia="仿宋_GB2312"/>
          <w:sz w:val="32"/>
          <w:szCs w:val="32"/>
          <w:highlight w:val="none"/>
        </w:rPr>
        <w:t>医疗器械检测报告、临床评价材料</w:t>
      </w:r>
      <w:r>
        <w:rPr>
          <w:rFonts w:ascii="Times New Roman" w:hAnsi="Times New Roman" w:eastAsia="仿宋_GB2312"/>
          <w:sz w:val="32"/>
          <w:szCs w:val="32"/>
          <w:highlight w:val="none"/>
        </w:rPr>
        <w:t>等）</w:t>
      </w:r>
      <w:r>
        <w:rPr>
          <w:rFonts w:hint="eastAsia" w:ascii="Times New Roman" w:hAnsi="Times New Roman" w:eastAsia="仿宋_GB2312"/>
          <w:sz w:val="32"/>
          <w:szCs w:val="32"/>
          <w:highlight w:val="none"/>
          <w:lang w:eastAsia="zh-CN"/>
        </w:rPr>
        <w:t>（如有）</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牵头单位和联合单位之间联合协议或合同等证明材料。（牵头单位和联合单位之间联合协议或合同，均加盖协议签署单位公章）</w:t>
      </w:r>
    </w:p>
    <w:p>
      <w:pPr>
        <w:pStyle w:val="2"/>
        <w:keepNext w:val="0"/>
        <w:keepLines w:val="0"/>
        <w:pageBreakBefore w:val="0"/>
        <w:kinsoku/>
        <w:wordWrap/>
        <w:overflowPunct/>
        <w:topLinePunct w:val="0"/>
        <w:autoSpaceDE/>
        <w:autoSpaceDN/>
        <w:bidi w:val="0"/>
        <w:spacing w:after="0" w:afterLines="0" w:line="600" w:lineRule="exact"/>
        <w:textAlignment w:val="auto"/>
        <w:rPr>
          <w:rFonts w:hint="eastAsia"/>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（七）</w:t>
      </w:r>
      <w:r>
        <w:rPr>
          <w:rFonts w:ascii="Times New Roman" w:hAnsi="Times New Roman" w:eastAsia="仿宋_GB2312"/>
          <w:sz w:val="32"/>
          <w:szCs w:val="32"/>
          <w:highlight w:val="none"/>
        </w:rPr>
        <w:t>牵头单位</w:t>
      </w:r>
      <w:r>
        <w:rPr>
          <w:rFonts w:hint="eastAsia" w:ascii="Times New Roman" w:hAnsi="Times New Roman" w:eastAsia="仿宋_GB2312"/>
          <w:sz w:val="32"/>
          <w:szCs w:val="32"/>
          <w:highlight w:val="none"/>
        </w:rPr>
        <w:t>及</w:t>
      </w:r>
      <w:r>
        <w:rPr>
          <w:rFonts w:ascii="Times New Roman" w:hAnsi="Times New Roman" w:eastAsia="仿宋_GB2312"/>
          <w:sz w:val="32"/>
          <w:szCs w:val="32"/>
          <w:highlight w:val="none"/>
        </w:rPr>
        <w:t>联合单位</w:t>
      </w:r>
      <w:r>
        <w:rPr>
          <w:rFonts w:hint="eastAsia" w:ascii="Times New Roman" w:hAnsi="Times New Roman" w:eastAsia="仿宋_GB2312"/>
          <w:sz w:val="32"/>
          <w:szCs w:val="32"/>
          <w:highlight w:val="none"/>
        </w:rPr>
        <w:t>的信用证明文件</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如银行资信证明、未列入失信被执行人/异常经营名录/税收违法黑名单证明等</w:t>
      </w:r>
      <w:r>
        <w:rPr>
          <w:rFonts w:ascii="Times New Roman" w:hAnsi="Times New Roman" w:eastAsia="仿宋_GB2312"/>
          <w:sz w:val="32"/>
          <w:szCs w:val="32"/>
          <w:highlight w:val="none"/>
        </w:rPr>
        <w:t>）</w:t>
      </w:r>
    </w:p>
    <w:p>
      <w:pPr>
        <w:keepNext w:val="0"/>
        <w:keepLines w:val="0"/>
        <w:pageBreakBefore w:val="0"/>
        <w:widowControl/>
        <w:kinsoku/>
        <w:wordWrap/>
        <w:overflowPunct/>
        <w:topLinePunct w:val="0"/>
        <w:autoSpaceDE/>
        <w:autoSpaceDN/>
        <w:bidi w:val="0"/>
        <w:spacing w:line="600" w:lineRule="exact"/>
        <w:jc w:val="left"/>
        <w:textAlignment w:val="auto"/>
        <w:rPr>
          <w:rFonts w:ascii="Times New Roman" w:hAnsi="Times New Roman" w:eastAsia="仿宋"/>
          <w:sz w:val="32"/>
          <w:szCs w:val="32"/>
        </w:rPr>
        <w:sectPr>
          <w:headerReference r:id="rId7" w:type="default"/>
          <w:pgSz w:w="11906" w:h="16838"/>
          <w:pgMar w:top="2098" w:right="1588" w:bottom="1985" w:left="1588" w:header="851" w:footer="1588"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ascii="Times New Roman" w:hAnsi="Times New Roman" w:eastAsia="方正小标宋简体"/>
          <w:color w:val="000000"/>
          <w:kern w:val="0"/>
          <w:sz w:val="32"/>
          <w:szCs w:val="32"/>
        </w:rPr>
      </w:pPr>
      <w:r>
        <w:rPr>
          <w:rFonts w:hint="eastAsia" w:ascii="Times New Roman" w:hAnsi="Times New Roman" w:eastAsia="黑体"/>
          <w:sz w:val="32"/>
          <w:szCs w:val="32"/>
        </w:rPr>
        <w:t>四、</w:t>
      </w:r>
      <w:r>
        <w:rPr>
          <w:rFonts w:ascii="Times New Roman" w:hAnsi="Times New Roman" w:eastAsia="黑体"/>
          <w:sz w:val="32"/>
          <w:szCs w:val="32"/>
        </w:rPr>
        <w:t>揭榜</w:t>
      </w:r>
      <w:r>
        <w:rPr>
          <w:rFonts w:hint="eastAsia" w:ascii="Times New Roman" w:hAnsi="Times New Roman" w:eastAsia="黑体"/>
          <w:sz w:val="32"/>
          <w:szCs w:val="32"/>
        </w:rPr>
        <w:t>挂帅</w:t>
      </w:r>
      <w:r>
        <w:rPr>
          <w:rFonts w:ascii="Times New Roman" w:hAnsi="Times New Roman" w:eastAsia="黑体"/>
          <w:sz w:val="32"/>
          <w:szCs w:val="32"/>
        </w:rPr>
        <w:t>任务承诺书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outlineLvl w:val="9"/>
        <w:rPr>
          <w:rFonts w:ascii="Times New Roman" w:hAnsi="Times New Roman" w:eastAsia="仿宋_GB2312"/>
          <w:sz w:val="32"/>
          <w:szCs w:val="32"/>
        </w:rPr>
      </w:pPr>
      <w:r>
        <w:rPr>
          <w:rFonts w:ascii="Times New Roman" w:hAnsi="Times New Roman" w:eastAsia="仿宋_GB2312"/>
          <w:sz w:val="32"/>
          <w:szCs w:val="32"/>
        </w:rPr>
        <w:t>根据《工业和信息化部办公厅 国家药监局综合司关于组织开展生物医用材料创新任务揭榜挂帅</w:t>
      </w:r>
      <w:r>
        <w:rPr>
          <w:rFonts w:hint="eastAsia" w:ascii="Times New Roman" w:hAnsi="Times New Roman" w:eastAsia="仿宋_GB2312"/>
          <w:sz w:val="32"/>
          <w:szCs w:val="32"/>
        </w:rPr>
        <w:t>（第</w:t>
      </w: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批）</w:t>
      </w:r>
      <w:r>
        <w:rPr>
          <w:rFonts w:ascii="Times New Roman" w:hAnsi="Times New Roman" w:eastAsia="仿宋_GB2312"/>
          <w:sz w:val="32"/>
          <w:szCs w:val="32"/>
        </w:rPr>
        <w:t>工作的通知》要求，我单位提交了</w:t>
      </w:r>
      <w:r>
        <w:rPr>
          <w:rFonts w:hint="eastAsia" w:ascii="Times New Roman" w:hAnsi="Times New Roman" w:eastAsia="仿宋_GB2312"/>
          <w:sz w:val="32"/>
          <w:szCs w:val="32"/>
        </w:rPr>
        <w:t>相关</w:t>
      </w:r>
      <w:r>
        <w:rPr>
          <w:rFonts w:ascii="Times New Roman" w:hAnsi="Times New Roman" w:eastAsia="仿宋_GB2312"/>
          <w:sz w:val="32"/>
          <w:szCs w:val="32"/>
        </w:rPr>
        <w:t>产品参评。</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现就有关情况承诺如下：</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（一）我单位对所报送的全部资料真实性负责，保证所报送的材料产品拥有知识产权，所报送材料产品符合国家有关法律法规及相关产业政策要求。</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（二）我单位所报送的材料产品符合国家保密规定，未涉及国家秘密、个人隐私和其他敏感信息。</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我单位对违反上述承诺导致的后果承担全部法律责任。</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我单位将根据揭榜挂帅工作要求，增强大局意识，切实承担主体责任，在揭榜挂帅任务实施期间认真组织、重点推进、加强保障，全力完成重点任务攻关，力求在</w:t>
      </w:r>
      <w:r>
        <w:rPr>
          <w:rFonts w:hint="eastAsia" w:ascii="Times New Roman" w:hAnsi="Times New Roman" w:eastAsia="仿宋_GB2312"/>
          <w:sz w:val="32"/>
          <w:szCs w:val="32"/>
        </w:rPr>
        <w:t>揭榜之日起的3年内</w:t>
      </w:r>
      <w:r>
        <w:rPr>
          <w:rFonts w:ascii="Times New Roman" w:hAnsi="Times New Roman" w:eastAsia="仿宋_GB2312"/>
          <w:sz w:val="32"/>
          <w:szCs w:val="32"/>
        </w:rPr>
        <w:t>取得实质进展，达到或超过预期目标。</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Times New Roman" w:hAnsi="Times New Roman" w:eastAsia="仿宋_GB2312"/>
          <w:sz w:val="32"/>
          <w:szCs w:val="32"/>
        </w:rPr>
      </w:pPr>
      <w:r>
        <w:rPr>
          <w:rFonts w:ascii="Times New Roman" w:hAnsi="Times New Roman" w:eastAsia="仿宋_GB2312"/>
          <w:sz w:val="32"/>
          <w:szCs w:val="32"/>
        </w:rPr>
        <w:t>联系人</w:t>
      </w:r>
      <w:r>
        <w:rPr>
          <w:rFonts w:hint="eastAsia" w:ascii="Times New Roman" w:hAnsi="Times New Roman" w:eastAsia="仿宋_GB2312"/>
          <w:sz w:val="32"/>
          <w:szCs w:val="32"/>
        </w:rPr>
        <w:t>及</w:t>
      </w:r>
      <w:r>
        <w:rPr>
          <w:rFonts w:ascii="Times New Roman" w:hAnsi="Times New Roman" w:eastAsia="仿宋_GB2312"/>
          <w:sz w:val="32"/>
          <w:szCs w:val="32"/>
        </w:rPr>
        <w:t>电话：</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0"/>
        <w:jc w:val="center"/>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600" w:lineRule="exact"/>
        <w:ind w:firstLine="600"/>
        <w:jc w:val="center"/>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ascii="Times New Roman" w:hAnsi="Times New Roman" w:eastAsia="仿宋_GB2312"/>
          <w:sz w:val="32"/>
          <w:szCs w:val="32"/>
        </w:rPr>
        <w:t>（单位盖章）</w:t>
      </w:r>
    </w:p>
    <w:p>
      <w:pPr>
        <w:keepNext w:val="0"/>
        <w:keepLines w:val="0"/>
        <w:pageBreakBefore w:val="0"/>
        <w:widowControl w:val="0"/>
        <w:kinsoku/>
        <w:wordWrap/>
        <w:overflowPunct/>
        <w:topLinePunct w:val="0"/>
        <w:autoSpaceDE/>
        <w:autoSpaceDN/>
        <w:bidi w:val="0"/>
        <w:adjustRightInd/>
        <w:snapToGrid/>
        <w:spacing w:line="600" w:lineRule="exact"/>
        <w:ind w:firstLine="600"/>
        <w:jc w:val="center"/>
        <w:textAlignment w:val="auto"/>
        <w:outlineLvl w:val="9"/>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202</w:t>
      </w:r>
      <w:r>
        <w:rPr>
          <w:rFonts w:hint="eastAsia" w:ascii="Times New Roman" w:hAnsi="Times New Roman" w:eastAsia="仿宋_GB2312"/>
          <w:sz w:val="32"/>
          <w:szCs w:val="32"/>
        </w:rPr>
        <w:t>5</w:t>
      </w:r>
      <w:r>
        <w:rPr>
          <w:rFonts w:ascii="Times New Roman" w:hAnsi="Times New Roman" w:eastAsia="仿宋_GB2312"/>
          <w:sz w:val="32"/>
          <w:szCs w:val="32"/>
        </w:rPr>
        <w:t>年  月   日</w:t>
      </w:r>
    </w:p>
    <w:p>
      <w:pPr>
        <w:pStyle w:val="2"/>
        <w:ind w:left="0" w:leftChars="0" w:firstLine="0" w:firstLineChars="0"/>
        <w:rPr>
          <w:rFonts w:hint="eastAsia"/>
        </w:rPr>
      </w:pPr>
    </w:p>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等线">
    <w:altName w:val="宋体"/>
    <w:panose1 w:val="02010600030101010101"/>
    <w:charset w:val="00"/>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945" cy="162560"/>
                      </a:xfrm>
                      <a:prstGeom prst="rect">
                        <a:avLst/>
                      </a:prstGeom>
                      <a:noFill/>
                      <a:ln>
                        <a:noFill/>
                      </a:ln>
                    </wps:spPr>
                    <wps:txbx>
                      <w:txbxContent>
                        <w:p>
                          <w:pPr>
                            <w:snapToGrid w:val="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11</w:t>
                          </w:r>
                          <w:r>
                            <w:rPr>
                              <w:rFonts w:ascii="Times New Roman" w:hAnsi="Times New Roman"/>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58240;mso-width-relative:page;mso-height-relative:page;" filled="f" stroked="f" coordsize="21600,21600" o:gfxdata="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sA4ATRAAAAAwEAAA8AAAAAAAAAAQAgAAAAOAAAAGRycy9kb3ducmV2&#10;LnhtbFBLAQIUABQAAAAIAIdO4kDW85x8tAEAAEgDAAAOAAAAAAAAAAEAIAAAADYBAABkcnMvZTJv&#10;RG9jLnhtbFBLBQYAAAAABgAGAFkBAABcBQAAAAA=&#10;">
              <v:fill on="f" focussize="0,0"/>
              <v:stroke on="f"/>
              <v:imagedata o:title=""/>
              <o:lock v:ext="edit" aspectratio="f"/>
              <v:textbox inset="0mm,0mm,0mm,0mm" style="mso-fit-shape-to-text:t;">
                <w:txbxContent>
                  <w:p>
                    <w:pPr>
                      <w:snapToGrid w:val="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11</w:t>
                    </w:r>
                    <w:r>
                      <w:rPr>
                        <w:rFonts w:ascii="Times New Roman" w:hAnsi="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3" o:spid="_x0000_s2052" o:spt="202" type="#_x0000_t202" style="position:absolute;left:0pt;margin-top:0pt;height:12.8pt;width:5.35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11</w:t>
                </w:r>
                <w:r>
                  <w:rPr>
                    <w:rFonts w:ascii="Times New Roman" w:hAnsi="Times New Roman"/>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42"/>
    <w:rsid w:val="00020D71"/>
    <w:rsid w:val="00083471"/>
    <w:rsid w:val="00105E47"/>
    <w:rsid w:val="001547CB"/>
    <w:rsid w:val="001863FA"/>
    <w:rsid w:val="001928D2"/>
    <w:rsid w:val="00245842"/>
    <w:rsid w:val="003A380F"/>
    <w:rsid w:val="003D6EBB"/>
    <w:rsid w:val="0040253C"/>
    <w:rsid w:val="00427555"/>
    <w:rsid w:val="00461492"/>
    <w:rsid w:val="005218E6"/>
    <w:rsid w:val="00527C04"/>
    <w:rsid w:val="005D2678"/>
    <w:rsid w:val="005E704D"/>
    <w:rsid w:val="006F1E3A"/>
    <w:rsid w:val="007468ED"/>
    <w:rsid w:val="00756AB2"/>
    <w:rsid w:val="007C04F1"/>
    <w:rsid w:val="007D498A"/>
    <w:rsid w:val="00867B7D"/>
    <w:rsid w:val="008C733A"/>
    <w:rsid w:val="008D27BA"/>
    <w:rsid w:val="00907D8C"/>
    <w:rsid w:val="0094179E"/>
    <w:rsid w:val="009668B4"/>
    <w:rsid w:val="00993D2F"/>
    <w:rsid w:val="00996B65"/>
    <w:rsid w:val="009C1C2B"/>
    <w:rsid w:val="00A45C59"/>
    <w:rsid w:val="00AC2F9C"/>
    <w:rsid w:val="00B612E1"/>
    <w:rsid w:val="00BD511C"/>
    <w:rsid w:val="00BE4990"/>
    <w:rsid w:val="00C06DBD"/>
    <w:rsid w:val="00CE4F26"/>
    <w:rsid w:val="00D378DC"/>
    <w:rsid w:val="00D700BC"/>
    <w:rsid w:val="00DA0042"/>
    <w:rsid w:val="00DB31B6"/>
    <w:rsid w:val="00DD2159"/>
    <w:rsid w:val="00EB0622"/>
    <w:rsid w:val="00EE6C2D"/>
    <w:rsid w:val="00F17230"/>
    <w:rsid w:val="00F33102"/>
    <w:rsid w:val="00FF5593"/>
    <w:rsid w:val="07A6BB73"/>
    <w:rsid w:val="0B822F73"/>
    <w:rsid w:val="0E4B39F7"/>
    <w:rsid w:val="0F9D0B6F"/>
    <w:rsid w:val="0FEF2C67"/>
    <w:rsid w:val="12474BC0"/>
    <w:rsid w:val="15737970"/>
    <w:rsid w:val="15B721A2"/>
    <w:rsid w:val="17ACF41F"/>
    <w:rsid w:val="17D76417"/>
    <w:rsid w:val="17FB04F2"/>
    <w:rsid w:val="1B7FD03C"/>
    <w:rsid w:val="1BBBD14A"/>
    <w:rsid w:val="1D7D0BE2"/>
    <w:rsid w:val="1DB91D1D"/>
    <w:rsid w:val="1DFB3CE6"/>
    <w:rsid w:val="1FDFAAEB"/>
    <w:rsid w:val="20D20E17"/>
    <w:rsid w:val="22FF2A78"/>
    <w:rsid w:val="23F4CF41"/>
    <w:rsid w:val="27FFFAC0"/>
    <w:rsid w:val="28F43633"/>
    <w:rsid w:val="293E3DC7"/>
    <w:rsid w:val="2B56A939"/>
    <w:rsid w:val="2DBF24B8"/>
    <w:rsid w:val="2DD37F92"/>
    <w:rsid w:val="2DEFB01B"/>
    <w:rsid w:val="2EEE4654"/>
    <w:rsid w:val="2EFBD3CD"/>
    <w:rsid w:val="2F7FC6AB"/>
    <w:rsid w:val="2FDFDE1A"/>
    <w:rsid w:val="2FE51672"/>
    <w:rsid w:val="2FEEA11C"/>
    <w:rsid w:val="2FF64E96"/>
    <w:rsid w:val="333FF99A"/>
    <w:rsid w:val="33BECEA2"/>
    <w:rsid w:val="33BF7ED3"/>
    <w:rsid w:val="35AE3F79"/>
    <w:rsid w:val="363FC2B8"/>
    <w:rsid w:val="367FBE41"/>
    <w:rsid w:val="369ADC1E"/>
    <w:rsid w:val="37DF0D6C"/>
    <w:rsid w:val="37DFE241"/>
    <w:rsid w:val="37F7CCB5"/>
    <w:rsid w:val="37FEFBC2"/>
    <w:rsid w:val="37FF7B10"/>
    <w:rsid w:val="39DD0098"/>
    <w:rsid w:val="3AF1533A"/>
    <w:rsid w:val="3B6826C7"/>
    <w:rsid w:val="3BB72E8D"/>
    <w:rsid w:val="3BF703A8"/>
    <w:rsid w:val="3C7D0F0D"/>
    <w:rsid w:val="3D7782EF"/>
    <w:rsid w:val="3DAEE8A6"/>
    <w:rsid w:val="3E6BD561"/>
    <w:rsid w:val="3EAFFE43"/>
    <w:rsid w:val="3EC96AC9"/>
    <w:rsid w:val="3ED7AF2E"/>
    <w:rsid w:val="3EDB123E"/>
    <w:rsid w:val="3EDBEEF7"/>
    <w:rsid w:val="3EDF9071"/>
    <w:rsid w:val="3EF989DE"/>
    <w:rsid w:val="3EFBBDE2"/>
    <w:rsid w:val="3EFF9E64"/>
    <w:rsid w:val="3FB9FF1B"/>
    <w:rsid w:val="3FBF67AC"/>
    <w:rsid w:val="3FCFA7D9"/>
    <w:rsid w:val="3FD91554"/>
    <w:rsid w:val="3FDF9B09"/>
    <w:rsid w:val="3FDFFFAF"/>
    <w:rsid w:val="3FEB60D8"/>
    <w:rsid w:val="3FEF630D"/>
    <w:rsid w:val="3FF7C8B4"/>
    <w:rsid w:val="3FFD1020"/>
    <w:rsid w:val="430F32BA"/>
    <w:rsid w:val="47FB1AE7"/>
    <w:rsid w:val="47FDAF85"/>
    <w:rsid w:val="49FD782F"/>
    <w:rsid w:val="4A6E9470"/>
    <w:rsid w:val="4B85624B"/>
    <w:rsid w:val="4C3F5C71"/>
    <w:rsid w:val="4DD34BDF"/>
    <w:rsid w:val="4EFDB643"/>
    <w:rsid w:val="4FEFDAE3"/>
    <w:rsid w:val="4FF34BF5"/>
    <w:rsid w:val="4FFE95E4"/>
    <w:rsid w:val="53613063"/>
    <w:rsid w:val="53FBBA19"/>
    <w:rsid w:val="565B59D6"/>
    <w:rsid w:val="56BFFD58"/>
    <w:rsid w:val="56ED41E5"/>
    <w:rsid w:val="57264D25"/>
    <w:rsid w:val="577BB363"/>
    <w:rsid w:val="57ECE018"/>
    <w:rsid w:val="5B558FEA"/>
    <w:rsid w:val="5B5DB45E"/>
    <w:rsid w:val="5B5EE668"/>
    <w:rsid w:val="5B991ED9"/>
    <w:rsid w:val="5BDF7F91"/>
    <w:rsid w:val="5BDFD1A4"/>
    <w:rsid w:val="5BF7A917"/>
    <w:rsid w:val="5BF8B0AD"/>
    <w:rsid w:val="5BFACE54"/>
    <w:rsid w:val="5BFEEDC7"/>
    <w:rsid w:val="5BFF7369"/>
    <w:rsid w:val="5C274F62"/>
    <w:rsid w:val="5CDFEDDE"/>
    <w:rsid w:val="5CEF2C31"/>
    <w:rsid w:val="5CFF131B"/>
    <w:rsid w:val="5CFFAB23"/>
    <w:rsid w:val="5D77B0DE"/>
    <w:rsid w:val="5D9F31C1"/>
    <w:rsid w:val="5DEB4624"/>
    <w:rsid w:val="5DFB0D9F"/>
    <w:rsid w:val="5E6E7BD0"/>
    <w:rsid w:val="5EB6CD5D"/>
    <w:rsid w:val="5ED55578"/>
    <w:rsid w:val="5EED3CC7"/>
    <w:rsid w:val="5EF330D9"/>
    <w:rsid w:val="5EF8EA24"/>
    <w:rsid w:val="5EFD5A5D"/>
    <w:rsid w:val="5F57FD83"/>
    <w:rsid w:val="5F6F774C"/>
    <w:rsid w:val="5F9B50FE"/>
    <w:rsid w:val="5F9FF512"/>
    <w:rsid w:val="5FD589DC"/>
    <w:rsid w:val="5FD7B06E"/>
    <w:rsid w:val="5FDB9045"/>
    <w:rsid w:val="5FDF81E6"/>
    <w:rsid w:val="5FE72B15"/>
    <w:rsid w:val="5FEB53EB"/>
    <w:rsid w:val="5FEFF0EC"/>
    <w:rsid w:val="5FF7861C"/>
    <w:rsid w:val="5FF799C7"/>
    <w:rsid w:val="5FFB29BD"/>
    <w:rsid w:val="5FFC2884"/>
    <w:rsid w:val="5FFE6C25"/>
    <w:rsid w:val="5FFEB8B4"/>
    <w:rsid w:val="646E0573"/>
    <w:rsid w:val="65D36192"/>
    <w:rsid w:val="66F5D88A"/>
    <w:rsid w:val="66FF974F"/>
    <w:rsid w:val="676F37B7"/>
    <w:rsid w:val="677E4A10"/>
    <w:rsid w:val="67BCB971"/>
    <w:rsid w:val="67DF8447"/>
    <w:rsid w:val="67FB6FE8"/>
    <w:rsid w:val="67FF1321"/>
    <w:rsid w:val="67FF2D65"/>
    <w:rsid w:val="69FF1CD4"/>
    <w:rsid w:val="6A8FE661"/>
    <w:rsid w:val="6AA60365"/>
    <w:rsid w:val="6ADF2FD4"/>
    <w:rsid w:val="6AF83E13"/>
    <w:rsid w:val="6AFE9A08"/>
    <w:rsid w:val="6BFB3E54"/>
    <w:rsid w:val="6BFE2160"/>
    <w:rsid w:val="6CF90223"/>
    <w:rsid w:val="6D768F82"/>
    <w:rsid w:val="6D76BFA7"/>
    <w:rsid w:val="6D9FADF0"/>
    <w:rsid w:val="6DDDCFE5"/>
    <w:rsid w:val="6DFF9D80"/>
    <w:rsid w:val="6E5F096E"/>
    <w:rsid w:val="6EEA133D"/>
    <w:rsid w:val="6EF6F9AB"/>
    <w:rsid w:val="6EFC2ED4"/>
    <w:rsid w:val="6EFD05D9"/>
    <w:rsid w:val="6EFD70CD"/>
    <w:rsid w:val="6EFD7731"/>
    <w:rsid w:val="6EFFF10C"/>
    <w:rsid w:val="6F2F8345"/>
    <w:rsid w:val="6F7DB494"/>
    <w:rsid w:val="6F7F06F5"/>
    <w:rsid w:val="6F7FF2EE"/>
    <w:rsid w:val="6FBDF825"/>
    <w:rsid w:val="6FC558D4"/>
    <w:rsid w:val="6FCF5032"/>
    <w:rsid w:val="6FDB37E0"/>
    <w:rsid w:val="6FDE3257"/>
    <w:rsid w:val="6FDE32A8"/>
    <w:rsid w:val="6FDF85A2"/>
    <w:rsid w:val="6FEF2B59"/>
    <w:rsid w:val="6FEF520A"/>
    <w:rsid w:val="6FF17152"/>
    <w:rsid w:val="6FFA9351"/>
    <w:rsid w:val="6FFD431E"/>
    <w:rsid w:val="6FFD6CB4"/>
    <w:rsid w:val="6FFE9A79"/>
    <w:rsid w:val="6FFF3576"/>
    <w:rsid w:val="715B5BDD"/>
    <w:rsid w:val="71FBA29A"/>
    <w:rsid w:val="73EF9E0D"/>
    <w:rsid w:val="75391EF7"/>
    <w:rsid w:val="7545FCED"/>
    <w:rsid w:val="761FB269"/>
    <w:rsid w:val="76FC7EC3"/>
    <w:rsid w:val="76FF155D"/>
    <w:rsid w:val="76FF94F9"/>
    <w:rsid w:val="76FFA587"/>
    <w:rsid w:val="76FFABC7"/>
    <w:rsid w:val="7742CB8C"/>
    <w:rsid w:val="777A85F1"/>
    <w:rsid w:val="777ACECA"/>
    <w:rsid w:val="777E2972"/>
    <w:rsid w:val="779B2836"/>
    <w:rsid w:val="77AE7485"/>
    <w:rsid w:val="77C8B5F3"/>
    <w:rsid w:val="77CA258F"/>
    <w:rsid w:val="77EF4A0E"/>
    <w:rsid w:val="77F66C4D"/>
    <w:rsid w:val="77F7027E"/>
    <w:rsid w:val="77F8BEC5"/>
    <w:rsid w:val="77F9975F"/>
    <w:rsid w:val="77FD51C6"/>
    <w:rsid w:val="77FDADA3"/>
    <w:rsid w:val="77FEF267"/>
    <w:rsid w:val="789FEE3F"/>
    <w:rsid w:val="78E3809C"/>
    <w:rsid w:val="79A78673"/>
    <w:rsid w:val="79BA0CD3"/>
    <w:rsid w:val="79BB21A5"/>
    <w:rsid w:val="79C7B46B"/>
    <w:rsid w:val="79EF1389"/>
    <w:rsid w:val="79F54FEA"/>
    <w:rsid w:val="79F9E413"/>
    <w:rsid w:val="79FC6EDB"/>
    <w:rsid w:val="7AB8718D"/>
    <w:rsid w:val="7ADF76C0"/>
    <w:rsid w:val="7AF7561C"/>
    <w:rsid w:val="7AFF93F0"/>
    <w:rsid w:val="7AFFFDA4"/>
    <w:rsid w:val="7B2D2C10"/>
    <w:rsid w:val="7B693B7B"/>
    <w:rsid w:val="7B6F2F93"/>
    <w:rsid w:val="7B7E5CBF"/>
    <w:rsid w:val="7BB174D0"/>
    <w:rsid w:val="7BB83958"/>
    <w:rsid w:val="7BC352F5"/>
    <w:rsid w:val="7BDB252E"/>
    <w:rsid w:val="7BE7E442"/>
    <w:rsid w:val="7BF769C6"/>
    <w:rsid w:val="7BF96610"/>
    <w:rsid w:val="7BFA231D"/>
    <w:rsid w:val="7BFE0FC7"/>
    <w:rsid w:val="7BFE998E"/>
    <w:rsid w:val="7BFF039A"/>
    <w:rsid w:val="7C7F1B23"/>
    <w:rsid w:val="7CBAE9A5"/>
    <w:rsid w:val="7CDF7CDC"/>
    <w:rsid w:val="7CEF569E"/>
    <w:rsid w:val="7D3CF6DD"/>
    <w:rsid w:val="7D7F9A23"/>
    <w:rsid w:val="7DBB04BA"/>
    <w:rsid w:val="7DBDB775"/>
    <w:rsid w:val="7DBE3797"/>
    <w:rsid w:val="7DBFE485"/>
    <w:rsid w:val="7DCA1F1E"/>
    <w:rsid w:val="7DDF615F"/>
    <w:rsid w:val="7DEBFA78"/>
    <w:rsid w:val="7DED1D7D"/>
    <w:rsid w:val="7DEF8CD1"/>
    <w:rsid w:val="7DEFD069"/>
    <w:rsid w:val="7DFB68A7"/>
    <w:rsid w:val="7DFC7805"/>
    <w:rsid w:val="7DFCF877"/>
    <w:rsid w:val="7DFD5447"/>
    <w:rsid w:val="7DFE7F66"/>
    <w:rsid w:val="7E7D4C30"/>
    <w:rsid w:val="7E7DC8AA"/>
    <w:rsid w:val="7E7F4943"/>
    <w:rsid w:val="7E97BEEC"/>
    <w:rsid w:val="7E97D30C"/>
    <w:rsid w:val="7EAF3E27"/>
    <w:rsid w:val="7EB564B1"/>
    <w:rsid w:val="7ECB0AF1"/>
    <w:rsid w:val="7ECD9519"/>
    <w:rsid w:val="7ECEC2BE"/>
    <w:rsid w:val="7ECF9FBF"/>
    <w:rsid w:val="7EDDE57E"/>
    <w:rsid w:val="7EDED659"/>
    <w:rsid w:val="7EE31A2F"/>
    <w:rsid w:val="7EE5E437"/>
    <w:rsid w:val="7EF7CCC0"/>
    <w:rsid w:val="7EFCEB52"/>
    <w:rsid w:val="7EFE5C95"/>
    <w:rsid w:val="7EFF4430"/>
    <w:rsid w:val="7EFF72F6"/>
    <w:rsid w:val="7F27B3F6"/>
    <w:rsid w:val="7F2F853F"/>
    <w:rsid w:val="7F36003B"/>
    <w:rsid w:val="7F5D5A93"/>
    <w:rsid w:val="7F691AD6"/>
    <w:rsid w:val="7F6EDC68"/>
    <w:rsid w:val="7F73D541"/>
    <w:rsid w:val="7F7C68DD"/>
    <w:rsid w:val="7F7CB69E"/>
    <w:rsid w:val="7F7D74D8"/>
    <w:rsid w:val="7F7F0B81"/>
    <w:rsid w:val="7F7F4304"/>
    <w:rsid w:val="7F7FABBC"/>
    <w:rsid w:val="7F7FD642"/>
    <w:rsid w:val="7F7FFBA0"/>
    <w:rsid w:val="7FBBB34B"/>
    <w:rsid w:val="7FBBD8AD"/>
    <w:rsid w:val="7FBE4FB3"/>
    <w:rsid w:val="7FBE5EB2"/>
    <w:rsid w:val="7FBFC27C"/>
    <w:rsid w:val="7FDC65EC"/>
    <w:rsid w:val="7FE5B418"/>
    <w:rsid w:val="7FEDF8D2"/>
    <w:rsid w:val="7FEE28B6"/>
    <w:rsid w:val="7FEE409A"/>
    <w:rsid w:val="7FEF3118"/>
    <w:rsid w:val="7FEF5DE5"/>
    <w:rsid w:val="7FF2A6AB"/>
    <w:rsid w:val="7FF7E835"/>
    <w:rsid w:val="7FF92020"/>
    <w:rsid w:val="7FFBED23"/>
    <w:rsid w:val="7FFC509D"/>
    <w:rsid w:val="7FFE1FDD"/>
    <w:rsid w:val="7FFE282F"/>
    <w:rsid w:val="7FFE4F3B"/>
    <w:rsid w:val="7FFE8E1E"/>
    <w:rsid w:val="7FFF6C38"/>
    <w:rsid w:val="7FFF6D62"/>
    <w:rsid w:val="7FFFD1F7"/>
    <w:rsid w:val="7FFFD36D"/>
    <w:rsid w:val="7FFFDE0E"/>
    <w:rsid w:val="805BD454"/>
    <w:rsid w:val="85BBD037"/>
    <w:rsid w:val="87BF9D2E"/>
    <w:rsid w:val="8ABD975B"/>
    <w:rsid w:val="8D0F4DC6"/>
    <w:rsid w:val="8FAF351F"/>
    <w:rsid w:val="8FDF1241"/>
    <w:rsid w:val="91DF98D3"/>
    <w:rsid w:val="95D94058"/>
    <w:rsid w:val="95F79806"/>
    <w:rsid w:val="972E8592"/>
    <w:rsid w:val="97EC9C63"/>
    <w:rsid w:val="9B75BE9B"/>
    <w:rsid w:val="9BF61170"/>
    <w:rsid w:val="9BFB8199"/>
    <w:rsid w:val="9C7D7E53"/>
    <w:rsid w:val="9DDF0C65"/>
    <w:rsid w:val="9E3D94CE"/>
    <w:rsid w:val="9FEB426B"/>
    <w:rsid w:val="9FEE235B"/>
    <w:rsid w:val="A2E7459F"/>
    <w:rsid w:val="A5FA81F3"/>
    <w:rsid w:val="A6BEB5C4"/>
    <w:rsid w:val="A73BAE4D"/>
    <w:rsid w:val="A77E6BF4"/>
    <w:rsid w:val="A9DB35BF"/>
    <w:rsid w:val="A9DBAFE4"/>
    <w:rsid w:val="AAD9C816"/>
    <w:rsid w:val="AB7F1F4A"/>
    <w:rsid w:val="ABF1C850"/>
    <w:rsid w:val="ABFF832D"/>
    <w:rsid w:val="AD1F96CB"/>
    <w:rsid w:val="ADFB1711"/>
    <w:rsid w:val="AEBE8DF8"/>
    <w:rsid w:val="AEFB7D32"/>
    <w:rsid w:val="AFEF8B35"/>
    <w:rsid w:val="AFFF642E"/>
    <w:rsid w:val="B0FF08EA"/>
    <w:rsid w:val="B2FA8787"/>
    <w:rsid w:val="B3EF09CE"/>
    <w:rsid w:val="B50FBC7A"/>
    <w:rsid w:val="B5EF7252"/>
    <w:rsid w:val="B5F684AE"/>
    <w:rsid w:val="B77F7AEC"/>
    <w:rsid w:val="B7E76620"/>
    <w:rsid w:val="B7E9854F"/>
    <w:rsid w:val="B7EFBC80"/>
    <w:rsid w:val="B7FFA90A"/>
    <w:rsid w:val="B99D6DCC"/>
    <w:rsid w:val="BA4DD8EF"/>
    <w:rsid w:val="BA7B23C6"/>
    <w:rsid w:val="BAB48E67"/>
    <w:rsid w:val="BB5C87F6"/>
    <w:rsid w:val="BB77CF51"/>
    <w:rsid w:val="BBBF783F"/>
    <w:rsid w:val="BBD7B017"/>
    <w:rsid w:val="BBEFC068"/>
    <w:rsid w:val="BBFBFDF4"/>
    <w:rsid w:val="BBFD4283"/>
    <w:rsid w:val="BC707754"/>
    <w:rsid w:val="BC7F9AEA"/>
    <w:rsid w:val="BD9C8F22"/>
    <w:rsid w:val="BDAF1FD6"/>
    <w:rsid w:val="BDB3A882"/>
    <w:rsid w:val="BDD7DFE6"/>
    <w:rsid w:val="BDDF7B1E"/>
    <w:rsid w:val="BDEBE437"/>
    <w:rsid w:val="BDFD101E"/>
    <w:rsid w:val="BDFEE4AC"/>
    <w:rsid w:val="BE5F66E3"/>
    <w:rsid w:val="BECF1D90"/>
    <w:rsid w:val="BEDAF019"/>
    <w:rsid w:val="BEDEBF68"/>
    <w:rsid w:val="BEEF67E8"/>
    <w:rsid w:val="BEF77758"/>
    <w:rsid w:val="BEFC3316"/>
    <w:rsid w:val="BF792455"/>
    <w:rsid w:val="BF793766"/>
    <w:rsid w:val="BF7B2567"/>
    <w:rsid w:val="BFAFBB98"/>
    <w:rsid w:val="BFD7F779"/>
    <w:rsid w:val="BFDFD38D"/>
    <w:rsid w:val="BFDFD79F"/>
    <w:rsid w:val="BFED5543"/>
    <w:rsid w:val="BFEF9371"/>
    <w:rsid w:val="BFFD5679"/>
    <w:rsid w:val="C7374D50"/>
    <w:rsid w:val="C797082E"/>
    <w:rsid w:val="CC7B0EBF"/>
    <w:rsid w:val="CDFE8ACE"/>
    <w:rsid w:val="CEFB1E9F"/>
    <w:rsid w:val="CEFBD7A8"/>
    <w:rsid w:val="CFBE24F6"/>
    <w:rsid w:val="CFE237B0"/>
    <w:rsid w:val="CFFDAFD6"/>
    <w:rsid w:val="CFFECF66"/>
    <w:rsid w:val="CFFF80EA"/>
    <w:rsid w:val="D2F726AD"/>
    <w:rsid w:val="D4EB572A"/>
    <w:rsid w:val="D5DF9612"/>
    <w:rsid w:val="D5DFAA98"/>
    <w:rsid w:val="D5EDFF1A"/>
    <w:rsid w:val="D5FFCDD1"/>
    <w:rsid w:val="D72BA61A"/>
    <w:rsid w:val="D77F38ED"/>
    <w:rsid w:val="D7DE1CC6"/>
    <w:rsid w:val="D7FDABB2"/>
    <w:rsid w:val="D7FDEE73"/>
    <w:rsid w:val="D87F397A"/>
    <w:rsid w:val="D9BF6A42"/>
    <w:rsid w:val="DA6F0D71"/>
    <w:rsid w:val="DA7CDC89"/>
    <w:rsid w:val="DADFC474"/>
    <w:rsid w:val="DAEF6CBC"/>
    <w:rsid w:val="DAFFD547"/>
    <w:rsid w:val="DB6B4D76"/>
    <w:rsid w:val="DBDA2A7A"/>
    <w:rsid w:val="DCBB0A2C"/>
    <w:rsid w:val="DCEF63AF"/>
    <w:rsid w:val="DCF562A5"/>
    <w:rsid w:val="DE1F7D78"/>
    <w:rsid w:val="DE778456"/>
    <w:rsid w:val="DEAB7675"/>
    <w:rsid w:val="DEBB824E"/>
    <w:rsid w:val="DEDE4D34"/>
    <w:rsid w:val="DEED7BB1"/>
    <w:rsid w:val="DEF7E440"/>
    <w:rsid w:val="DEFF81A6"/>
    <w:rsid w:val="DEFFDB52"/>
    <w:rsid w:val="DF79AC4E"/>
    <w:rsid w:val="DF7FC2BE"/>
    <w:rsid w:val="DF9B3A23"/>
    <w:rsid w:val="DF9D9859"/>
    <w:rsid w:val="DF9FD2C8"/>
    <w:rsid w:val="DFAD6CDF"/>
    <w:rsid w:val="DFB99956"/>
    <w:rsid w:val="DFC7960A"/>
    <w:rsid w:val="DFD250BF"/>
    <w:rsid w:val="DFE62B38"/>
    <w:rsid w:val="DFEDE540"/>
    <w:rsid w:val="DFF26511"/>
    <w:rsid w:val="DFF56C21"/>
    <w:rsid w:val="DFFB38C2"/>
    <w:rsid w:val="DFFB8B75"/>
    <w:rsid w:val="DFFD6940"/>
    <w:rsid w:val="DFFEF5B5"/>
    <w:rsid w:val="DFFF8120"/>
    <w:rsid w:val="E277ACB1"/>
    <w:rsid w:val="E38707D0"/>
    <w:rsid w:val="E3D3F30C"/>
    <w:rsid w:val="E3EBBBFC"/>
    <w:rsid w:val="E3EFC1E1"/>
    <w:rsid w:val="E3F9A430"/>
    <w:rsid w:val="E6EF0B84"/>
    <w:rsid w:val="E73F62F0"/>
    <w:rsid w:val="E7FB47F7"/>
    <w:rsid w:val="EABFA9CE"/>
    <w:rsid w:val="EBBF1247"/>
    <w:rsid w:val="EBBF5118"/>
    <w:rsid w:val="ECDB73C0"/>
    <w:rsid w:val="EDC9596A"/>
    <w:rsid w:val="EDED0C4B"/>
    <w:rsid w:val="EDF5BC7F"/>
    <w:rsid w:val="EDFAD884"/>
    <w:rsid w:val="EED7D2F0"/>
    <w:rsid w:val="EEF7E03C"/>
    <w:rsid w:val="EEFC6BFE"/>
    <w:rsid w:val="EF2C1A99"/>
    <w:rsid w:val="EF5A908E"/>
    <w:rsid w:val="EF97C43E"/>
    <w:rsid w:val="EFB7E0CC"/>
    <w:rsid w:val="EFBD4DCA"/>
    <w:rsid w:val="EFCF0F0A"/>
    <w:rsid w:val="EFDFD0F6"/>
    <w:rsid w:val="EFEC98FF"/>
    <w:rsid w:val="EFED157A"/>
    <w:rsid w:val="EFFBC1C2"/>
    <w:rsid w:val="EFFD7D37"/>
    <w:rsid w:val="EFFE150A"/>
    <w:rsid w:val="F0366D4D"/>
    <w:rsid w:val="F07FD638"/>
    <w:rsid w:val="F0BFD50E"/>
    <w:rsid w:val="F3C37866"/>
    <w:rsid w:val="F3CD98F6"/>
    <w:rsid w:val="F3DFC378"/>
    <w:rsid w:val="F3FA9173"/>
    <w:rsid w:val="F567E92A"/>
    <w:rsid w:val="F57EB709"/>
    <w:rsid w:val="F5B6669D"/>
    <w:rsid w:val="F6DECB71"/>
    <w:rsid w:val="F6EF8943"/>
    <w:rsid w:val="F6FBF657"/>
    <w:rsid w:val="F6FF75FF"/>
    <w:rsid w:val="F73CB211"/>
    <w:rsid w:val="F73E5F4D"/>
    <w:rsid w:val="F75F3858"/>
    <w:rsid w:val="F76F0435"/>
    <w:rsid w:val="F76F91EE"/>
    <w:rsid w:val="F773F28E"/>
    <w:rsid w:val="F78F6240"/>
    <w:rsid w:val="F7AB0AE7"/>
    <w:rsid w:val="F7B1EB39"/>
    <w:rsid w:val="F7B5F7B7"/>
    <w:rsid w:val="F7CB8E34"/>
    <w:rsid w:val="F7DF40AA"/>
    <w:rsid w:val="F7F32AF6"/>
    <w:rsid w:val="F7F3F819"/>
    <w:rsid w:val="F7F9F952"/>
    <w:rsid w:val="F7FB1CE7"/>
    <w:rsid w:val="F7FD12F8"/>
    <w:rsid w:val="F7FF1CD4"/>
    <w:rsid w:val="F87182DC"/>
    <w:rsid w:val="F8FF5912"/>
    <w:rsid w:val="F93F2ECD"/>
    <w:rsid w:val="F94F255B"/>
    <w:rsid w:val="F97F08E8"/>
    <w:rsid w:val="F97F63BD"/>
    <w:rsid w:val="F9FF1642"/>
    <w:rsid w:val="F9FFC14B"/>
    <w:rsid w:val="FA5BAB8D"/>
    <w:rsid w:val="FA9EEB1B"/>
    <w:rsid w:val="FAF6F2D5"/>
    <w:rsid w:val="FB259145"/>
    <w:rsid w:val="FB9B78EF"/>
    <w:rsid w:val="FB9EC521"/>
    <w:rsid w:val="FBDFD300"/>
    <w:rsid w:val="FBF43572"/>
    <w:rsid w:val="FBFA8B9C"/>
    <w:rsid w:val="FBFE0D09"/>
    <w:rsid w:val="FBFFE4D1"/>
    <w:rsid w:val="FCBFF38A"/>
    <w:rsid w:val="FCD7EA49"/>
    <w:rsid w:val="FCEFCABE"/>
    <w:rsid w:val="FCEFCF72"/>
    <w:rsid w:val="FD79D565"/>
    <w:rsid w:val="FD7B60B5"/>
    <w:rsid w:val="FD7E2362"/>
    <w:rsid w:val="FD8726F6"/>
    <w:rsid w:val="FDBF1E88"/>
    <w:rsid w:val="FDBF785E"/>
    <w:rsid w:val="FDBFE3A3"/>
    <w:rsid w:val="FDCE2334"/>
    <w:rsid w:val="FDD7C981"/>
    <w:rsid w:val="FDD98626"/>
    <w:rsid w:val="FDFAE8DD"/>
    <w:rsid w:val="FDFD4601"/>
    <w:rsid w:val="FDFF517B"/>
    <w:rsid w:val="FDFF9A89"/>
    <w:rsid w:val="FE25A368"/>
    <w:rsid w:val="FE7B44CA"/>
    <w:rsid w:val="FEBD5BDA"/>
    <w:rsid w:val="FEBE61B9"/>
    <w:rsid w:val="FEC93C1C"/>
    <w:rsid w:val="FED827CE"/>
    <w:rsid w:val="FEFF061B"/>
    <w:rsid w:val="FEFFE8A9"/>
    <w:rsid w:val="FF2F7624"/>
    <w:rsid w:val="FF2F8DC7"/>
    <w:rsid w:val="FF3B90CF"/>
    <w:rsid w:val="FF3D2A9D"/>
    <w:rsid w:val="FF3E020C"/>
    <w:rsid w:val="FF3E19EA"/>
    <w:rsid w:val="FF3E6BCE"/>
    <w:rsid w:val="FF3FDDF8"/>
    <w:rsid w:val="FF45AA7A"/>
    <w:rsid w:val="FF4F7235"/>
    <w:rsid w:val="FF6B8335"/>
    <w:rsid w:val="FF773525"/>
    <w:rsid w:val="FF7D084B"/>
    <w:rsid w:val="FF7D3C9D"/>
    <w:rsid w:val="FF7F2658"/>
    <w:rsid w:val="FF7FA38E"/>
    <w:rsid w:val="FF7FFF7C"/>
    <w:rsid w:val="FF9DEED3"/>
    <w:rsid w:val="FFB79B70"/>
    <w:rsid w:val="FFB7CE44"/>
    <w:rsid w:val="FFBB8F99"/>
    <w:rsid w:val="FFBD4079"/>
    <w:rsid w:val="FFBF3258"/>
    <w:rsid w:val="FFBF87AE"/>
    <w:rsid w:val="FFCAB011"/>
    <w:rsid w:val="FFCB2AFC"/>
    <w:rsid w:val="FFCF5212"/>
    <w:rsid w:val="FFDCD400"/>
    <w:rsid w:val="FFDFD495"/>
    <w:rsid w:val="FFDFFF92"/>
    <w:rsid w:val="FFEAC151"/>
    <w:rsid w:val="FFEFB168"/>
    <w:rsid w:val="FFEFDFF2"/>
    <w:rsid w:val="FFF7ECDE"/>
    <w:rsid w:val="FFF960CE"/>
    <w:rsid w:val="FFFADE52"/>
    <w:rsid w:val="FFFDE6DB"/>
    <w:rsid w:val="FFFE140E"/>
    <w:rsid w:val="FFFF000F"/>
    <w:rsid w:val="FFFF25E2"/>
    <w:rsid w:val="FFFF2836"/>
    <w:rsid w:val="FFFF5901"/>
    <w:rsid w:val="FFFF7DA7"/>
    <w:rsid w:val="FFFFE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仿宋_GB2312" w:hAnsi="仿宋_GB2312" w:eastAsia="仿宋_GB2312" w:cstheme="minorBidi"/>
      <w:color w:val="070707"/>
      <w:kern w:val="2"/>
      <w:sz w:val="32"/>
      <w:szCs w:val="32"/>
      <w:lang w:val="en-US" w:eastAsia="zh-CN" w:bidi="ar-SA"/>
    </w:rPr>
  </w:style>
  <w:style w:type="paragraph" w:styleId="4">
    <w:name w:val="heading 1"/>
    <w:basedOn w:val="1"/>
    <w:next w:val="1"/>
    <w:qFormat/>
    <w:uiPriority w:val="0"/>
    <w:pPr>
      <w:spacing w:beforeAutospacing="0" w:afterAutospacing="0" w:line="560" w:lineRule="exact"/>
      <w:ind w:firstLine="0" w:firstLineChars="0"/>
      <w:jc w:val="center"/>
      <w:outlineLvl w:val="0"/>
    </w:pPr>
    <w:rPr>
      <w:rFonts w:hint="eastAsia" w:ascii="方正小标宋_GBK" w:hAnsi="方正小标宋_GBK" w:eastAsia="方正小标宋简体" w:cs="宋体"/>
      <w:color w:val="070707"/>
      <w:kern w:val="44"/>
      <w:sz w:val="44"/>
      <w:szCs w:val="48"/>
      <w:lang w:bidi="ar"/>
    </w:rPr>
  </w:style>
  <w:style w:type="paragraph" w:styleId="5">
    <w:name w:val="heading 2"/>
    <w:basedOn w:val="1"/>
    <w:next w:val="1"/>
    <w:unhideWhenUsed/>
    <w:qFormat/>
    <w:uiPriority w:val="0"/>
    <w:pPr>
      <w:keepNext/>
      <w:keepLines/>
      <w:spacing w:beforeLines="0" w:beforeAutospacing="0" w:afterLines="0" w:afterAutospacing="0" w:line="560" w:lineRule="exact"/>
      <w:outlineLvl w:val="1"/>
    </w:pPr>
    <w:rPr>
      <w:rFonts w:ascii="黑体" w:hAnsi="黑体" w:eastAsia="黑体"/>
    </w:rPr>
  </w:style>
  <w:style w:type="paragraph" w:styleId="6">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annotation text"/>
    <w:basedOn w:val="1"/>
    <w:unhideWhenUsed/>
    <w:qFormat/>
    <w:uiPriority w:val="99"/>
    <w:pPr>
      <w:adjustRightInd/>
      <w:snapToGrid/>
      <w:spacing w:line="240" w:lineRule="auto"/>
      <w:ind w:firstLine="0" w:firstLineChars="0"/>
      <w:jc w:val="left"/>
    </w:pPr>
    <w:rPr>
      <w:rFonts w:ascii="等线" w:hAnsi="等线" w:eastAsia="等线" w:cs="Times New Roman"/>
      <w:sz w:val="21"/>
      <w:szCs w:val="22"/>
    </w:rPr>
  </w:style>
  <w:style w:type="paragraph" w:styleId="8">
    <w:name w:val="footer"/>
    <w:basedOn w:val="1"/>
    <w:link w:val="15"/>
    <w:qFormat/>
    <w:uiPriority w:val="0"/>
    <w:pPr>
      <w:tabs>
        <w:tab w:val="center" w:pos="4153"/>
        <w:tab w:val="right" w:pos="8306"/>
      </w:tabs>
      <w:adjustRightInd w:val="0"/>
      <w:snapToGrid w:val="0"/>
      <w:spacing w:line="240" w:lineRule="auto"/>
      <w:jc w:val="center"/>
    </w:pPr>
    <w:rPr>
      <w:rFonts w:ascii="宋体" w:hAnsi="宋体" w:eastAsia="宋体"/>
      <w:sz w:val="2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落款"/>
    <w:basedOn w:val="1"/>
    <w:qFormat/>
    <w:uiPriority w:val="0"/>
    <w:pPr>
      <w:ind w:right="640" w:rightChars="200" w:firstLine="0" w:firstLineChars="0"/>
      <w:jc w:val="right"/>
    </w:pPr>
  </w:style>
  <w:style w:type="paragraph" w:styleId="13">
    <w:name w:val=""/>
    <w:unhideWhenUsed/>
    <w:uiPriority w:val="99"/>
    <w:rPr>
      <w:rFonts w:ascii="等线" w:hAnsi="等线" w:eastAsia="等线" w:cs="Times New Roman"/>
      <w:kern w:val="2"/>
      <w:sz w:val="21"/>
      <w:szCs w:val="22"/>
      <w:lang w:val="en-US" w:eastAsia="zh-CN" w:bidi="ar-SA"/>
    </w:rPr>
  </w:style>
  <w:style w:type="paragraph" w:customStyle="1" w:styleId="14">
    <w:name w:val="List Paragraph"/>
    <w:basedOn w:val="1"/>
    <w:qFormat/>
    <w:uiPriority w:val="34"/>
    <w:pPr>
      <w:adjustRightInd/>
      <w:snapToGrid/>
      <w:spacing w:line="240" w:lineRule="auto"/>
      <w:ind w:firstLine="420" w:firstLineChars="200"/>
    </w:pPr>
    <w:rPr>
      <w:rFonts w:ascii="等线" w:hAnsi="等线" w:eastAsia="等线" w:cs="Times New Roman"/>
      <w:sz w:val="21"/>
      <w:szCs w:val="22"/>
    </w:rPr>
  </w:style>
  <w:style w:type="character" w:customStyle="1" w:styleId="15">
    <w:name w:val="页脚 字符"/>
    <w:link w:val="8"/>
    <w:qFormat/>
    <w:uiPriority w:val="99"/>
    <w:rPr>
      <w:rFonts w:ascii="Times New Roman" w:hAnsi="Times New Roman" w:eastAsia="宋体" w:cs="Times New Roman"/>
      <w:sz w:val="18"/>
      <w:szCs w:val="18"/>
    </w:rPr>
  </w:style>
  <w:style w:type="character" w:customStyle="1" w:styleId="16">
    <w:name w:val="页眉 字符"/>
    <w:link w:val="9"/>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13739"/>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2025-02-08T18:30:00Z</dcterms:created>
  <dc:creator>王一凡</dc:creator>
  <cp:lastModifiedBy>王一凡</cp:lastModifiedBy>
  <dcterms:modified xsi:type="dcterms:W3CDTF">2025-02-11T14:26:41Z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