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4A" w:rsidRPr="0093056B" w:rsidRDefault="00AC374A" w:rsidP="00AC374A">
      <w:pPr>
        <w:widowControl/>
        <w:spacing w:beforeLines="50" w:before="156" w:afterLines="50" w:after="156" w:line="440" w:lineRule="exact"/>
        <w:jc w:val="center"/>
        <w:rPr>
          <w:rFonts w:ascii="方正小标宋简体" w:eastAsia="方正小标宋简体" w:hAnsi="ˎ̥" w:cs="Arial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ˎ̥" w:cs="Arial" w:hint="eastAsia"/>
          <w:b/>
          <w:bCs/>
          <w:color w:val="000000"/>
          <w:kern w:val="0"/>
          <w:sz w:val="44"/>
          <w:szCs w:val="44"/>
        </w:rPr>
        <w:t>北京市</w:t>
      </w:r>
      <w:r w:rsidRPr="0093056B">
        <w:rPr>
          <w:rFonts w:ascii="方正小标宋简体" w:eastAsia="方正小标宋简体" w:hAnsi="ˎ̥" w:cs="Arial" w:hint="eastAsia"/>
          <w:b/>
          <w:bCs/>
          <w:color w:val="000000"/>
          <w:kern w:val="0"/>
          <w:sz w:val="44"/>
          <w:szCs w:val="44"/>
        </w:rPr>
        <w:t>临床试验用医疗器械管理指南</w:t>
      </w:r>
    </w:p>
    <w:p w:rsidR="00AC374A" w:rsidRDefault="00AC374A" w:rsidP="00AC374A">
      <w:pPr>
        <w:widowControl/>
        <w:spacing w:beforeLines="50" w:before="156" w:afterLines="50" w:after="156" w:line="440" w:lineRule="exact"/>
        <w:jc w:val="center"/>
        <w:rPr>
          <w:rFonts w:ascii="仿宋_GB2312" w:eastAsia="仿宋_GB2312" w:hAnsi="ˎ̥" w:cs="Arial"/>
          <w:bCs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Cs/>
          <w:color w:val="000000"/>
          <w:kern w:val="0"/>
          <w:sz w:val="32"/>
          <w:szCs w:val="32"/>
        </w:rPr>
        <w:t>（征求意见稿）</w:t>
      </w:r>
    </w:p>
    <w:p w:rsidR="00AC374A" w:rsidRPr="0093056B" w:rsidRDefault="00AC374A" w:rsidP="00AC374A">
      <w:pPr>
        <w:widowControl/>
        <w:spacing w:beforeLines="50" w:before="156" w:afterLines="50" w:after="156" w:line="440" w:lineRule="exact"/>
        <w:jc w:val="center"/>
        <w:rPr>
          <w:rFonts w:ascii="仿宋_GB2312" w:eastAsia="仿宋_GB2312" w:hAnsi="ˎ̥" w:cs="Arial"/>
          <w:bCs/>
          <w:color w:val="000000"/>
          <w:kern w:val="0"/>
          <w:sz w:val="32"/>
          <w:szCs w:val="32"/>
        </w:rPr>
      </w:pPr>
    </w:p>
    <w:p w:rsidR="00AC374A" w:rsidRPr="0093056B" w:rsidRDefault="00AC374A" w:rsidP="00AC374A">
      <w:pPr>
        <w:widowControl/>
        <w:spacing w:line="440" w:lineRule="exact"/>
        <w:jc w:val="center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 w:rsidRPr="0093056B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第一章 总则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 xml:space="preserve">第一条 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指导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临床试验用医疗器械的</w:t>
      </w:r>
      <w:r w:rsidRPr="00364EB8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规范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管理，保证临床试验用医疗器械的安全、有效，根据《医疗器械监督管理条例》（中华人民共和国国务院令第6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8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0号）、《医疗器械临床试验质量管理规范》(国家食品药品监督管理总局 中华人民共和国国家卫生和计划生育委员会令第25号），制定本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指南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第二条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本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指南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适用于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本市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申办者开展的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拟申请注册的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医疗器械临床试验，对试验用医疗器械在临床试验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开展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前准备、临床试验实施过程管理及临床试验后处理等环节的要求进行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规范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。</w:t>
      </w:r>
      <w:r w:rsidRPr="00364EB8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本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指南不适用于体外诊断试剂临床试验管理和</w:t>
      </w:r>
      <w:r w:rsidRPr="00AD54CC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医疗器械拓展性临床试验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管理。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第三条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本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指南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所称试验用医疗器械，是指临床试验中对其安全性、有效性进行验证确认的拟申请注册的医疗器械。</w:t>
      </w:r>
    </w:p>
    <w:p w:rsidR="00AC374A" w:rsidRPr="0093056B" w:rsidRDefault="00AC374A" w:rsidP="00AC374A">
      <w:pPr>
        <w:widowControl/>
        <w:spacing w:line="440" w:lineRule="exact"/>
        <w:ind w:firstLineChars="200" w:firstLine="643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第四条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申办者应当对试验用医疗器械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质量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，临床试验机构和研究者</w:t>
      </w:r>
      <w:r w:rsidRPr="00364EB8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应当对试验用医疗器械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的使用负责。</w:t>
      </w:r>
    </w:p>
    <w:p w:rsidR="00AC374A" w:rsidRPr="0093056B" w:rsidRDefault="00AC374A" w:rsidP="00AC374A">
      <w:pPr>
        <w:widowControl/>
        <w:spacing w:line="440" w:lineRule="exact"/>
        <w:ind w:firstLineChars="196" w:firstLine="627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　　</w:t>
      </w:r>
    </w:p>
    <w:p w:rsidR="00AC374A" w:rsidRPr="0093056B" w:rsidRDefault="00AC374A" w:rsidP="00AC374A">
      <w:pPr>
        <w:widowControl/>
        <w:spacing w:line="44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93056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第二章 临床试验开展前准备</w:t>
      </w:r>
    </w:p>
    <w:p w:rsidR="00AC374A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五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申办者提供的临床试验用医疗器械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应当符合《</w:t>
      </w:r>
      <w:r w:rsidRPr="00CD1AF3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医疗器械注册质量管理体系核查指南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》的相关要求，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临床试验开始前，申办者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应当进行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试验用医疗器械注册检验，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持1年内注册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检验合格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报告申请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临床试验。</w:t>
      </w:r>
      <w:r w:rsidRPr="00BD70F0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申办者应当向临床试验机构免费提供试验用医疗器械。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六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申办者应当按照试验用医疗器械的管理类别、风险、预期用途等组织制定科学、合理的临床试验方案，不得夸大宣传试验用医疗器械的机理、疗效及安全性。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lastRenderedPageBreak/>
        <w:t>第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七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申办者应当参照《医疗器械说明书和标签管理规定》，对试验用医疗器械进行标识，并标注“试验用”字样。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八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181D46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临床试验机构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应当制定试验用医疗器械相关操作规程，包括试验用医疗器械的运输、接收、储存、分发、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使用、处理、回收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等环节。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九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</w:t>
      </w:r>
      <w:r w:rsidRPr="00EE317A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临床试验应当获得伦理委员会审批同意，申办者与临床试验机构签订协议或合同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并向北京市</w:t>
      </w:r>
      <w:r w:rsidRPr="00EE317A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药品监督管理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局</w:t>
      </w:r>
      <w:r w:rsidRPr="00EE317A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备案后方可开展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。</w:t>
      </w:r>
    </w:p>
    <w:p w:rsidR="00AC374A" w:rsidRPr="00C05EF9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282C3E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十</w:t>
      </w:r>
      <w:r w:rsidRPr="00282C3E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</w:t>
      </w:r>
      <w:r w:rsidRPr="00C8009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列入需进行临床试验审批的第三类医疗器械目录的，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在开展</w:t>
      </w:r>
      <w:r w:rsidRPr="00C8009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前还应当获得国家药品监督管理局</w:t>
      </w:r>
      <w:r w:rsidRPr="00C8009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批准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。</w:t>
      </w:r>
    </w:p>
    <w:p w:rsidR="00AC374A" w:rsidRPr="0093056B" w:rsidRDefault="00AC374A" w:rsidP="00AC374A">
      <w:pPr>
        <w:widowControl/>
        <w:spacing w:line="440" w:lineRule="exact"/>
        <w:ind w:firstLineChars="196" w:firstLine="627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AC374A" w:rsidRPr="0093056B" w:rsidRDefault="00AC374A" w:rsidP="00AC374A">
      <w:pPr>
        <w:widowControl/>
        <w:spacing w:line="44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93056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第三章 临床试验实施过程管理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一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伦理委员会批准开展临床试验后，申办者应当向临床试验机构提供试验用医疗器械，确保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运输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过程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符合要求，并做好记录，记录至少包括：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临床试验名称、</w:t>
      </w:r>
      <w:r w:rsidRPr="00021E6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</w:t>
      </w:r>
      <w:r w:rsidRPr="00021E6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临床试验机构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名称及地址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、试验用医疗器械信息（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名称、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规格型号、生产日期、</w:t>
      </w:r>
      <w:r w:rsidRPr="00636213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批号或序列号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、灭菌日期、有效期等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）、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数量、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运输条件、移交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人、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移交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日期等内容。</w:t>
      </w:r>
    </w:p>
    <w:p w:rsidR="00AC374A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A611ED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二</w:t>
      </w:r>
      <w:r w:rsidRPr="00A611ED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</w:t>
      </w:r>
      <w:r w:rsidRPr="00A611ED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研究者应当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核对接收的</w:t>
      </w:r>
      <w:r w:rsidRPr="00A611ED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，应当与产品注册检验报告信息及交接记录信息一致，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至少包括：</w:t>
      </w:r>
      <w:r w:rsidRPr="00021E6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</w:t>
      </w:r>
      <w:r w:rsidRPr="00021E6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临床试验名称、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试验用医疗器械信息（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名称、规格型号、生产日期、批号或序列号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、灭菌日期、有效期等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）、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数量、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运输条件、移交人签名及日期，核对无误后在接收人签名处</w:t>
      </w:r>
      <w:r w:rsidRPr="004F1320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签名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、填写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日期。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三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临床试验机构应当配备与试验用医疗器械品种、数量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、储存条件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相适应的场所</w:t>
      </w:r>
      <w:r w:rsidRPr="0031031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和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设施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</w:t>
      </w:r>
      <w:r w:rsidRPr="00FB5F14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专人负责管理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，并做好储存记录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lastRenderedPageBreak/>
        <w:t>第十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四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申办者应当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对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参与试验的人员进行试验用医疗器械使用管理培训。参与试验的人员应当熟悉试验用医疗器械的原理、适用范围、产品性能、操作方法、安装要求及技术指标等，了解试验用医疗器械的临床前研究资料和安全性资料，按照临床试验方案、产品说明书、技术操作规范等要求科学合理使用试验用医疗器械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五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 xml:space="preserve"> 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试验用医疗器械原则上只能用于该临床试验的受试者，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研究者不得把试验用医疗器械转交任何非临床试验参加者。</w:t>
      </w:r>
    </w:p>
    <w:p w:rsidR="00AC374A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六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</w:t>
      </w:r>
      <w:r w:rsidRPr="0013130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机构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364EB8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研究者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在使用试验用医疗器械时应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当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做好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发放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记录，记录至少包括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：</w:t>
      </w:r>
      <w:r w:rsidRPr="00021E6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</w:t>
      </w:r>
      <w:r w:rsidRPr="00021E6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临床试验名称、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试验用医疗器械信息（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名称、规格型号、生产日期、批号或序列号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、灭菌日期、有效期等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）、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数量、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发放日期、</w:t>
      </w:r>
      <w:r w:rsidRPr="004F1320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交接双方签名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日期等内容。</w:t>
      </w:r>
    </w:p>
    <w:p w:rsidR="00AC374A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七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研究者应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当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在每个受试者使用试验用医疗器械时做好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使用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记录，记录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至少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包括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：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受试者信息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试验用医疗器械信息（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名称、规格型号、生产日期、批号或序列号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、灭菌日期、有效期等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使用日期、使用情况等内容。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八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 xml:space="preserve">条 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临床试验机构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和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研究者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应当妥善保存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试验资料，并确保信息具有可追溯性。</w:t>
      </w:r>
      <w:r w:rsidRPr="003A3562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临床试验机构应当保存临床试验资料至临床试验结束后</w:t>
      </w:r>
      <w:r w:rsidRPr="003A3562">
        <w:rPr>
          <w:rFonts w:ascii="仿宋_GB2312" w:eastAsia="仿宋_GB2312" w:hAnsi="ˎ̥" w:cs="Arial"/>
          <w:color w:val="000000"/>
          <w:kern w:val="0"/>
          <w:sz w:val="32"/>
          <w:szCs w:val="32"/>
        </w:rPr>
        <w:t xml:space="preserve"> 10 年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</w:t>
      </w:r>
      <w:r w:rsidRPr="003A3562">
        <w:rPr>
          <w:rFonts w:ascii="仿宋_GB2312" w:eastAsia="仿宋_GB2312" w:hAnsi="ˎ̥" w:cs="Arial"/>
          <w:color w:val="000000"/>
          <w:kern w:val="0"/>
          <w:sz w:val="32"/>
          <w:szCs w:val="32"/>
        </w:rPr>
        <w:t>申办者应当保存临床试验资料至无该医疗器械使用时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十九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临床试验过程中，申办者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364EB8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临床试验机构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和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研究者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发现试验用医疗器械可能存在影响受试者安全的，应当立即停止临床试验，并向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伦理委员会和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药品监督管理部门报告。产品风险消除后，经伦理委员会审查同意后方可继续开展临床试验，涉及临床试验方案、知情同意书等材料相关内容修改的，应当经伦理委员会审查同意后方可继续开展临床试验。</w:t>
      </w:r>
    </w:p>
    <w:p w:rsidR="00AC374A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636213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第二十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</w:t>
      </w:r>
      <w:r w:rsidRPr="00364EB8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 w:rsidRPr="00364EB8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临床试验机构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和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研究者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应当对试验用医疗器械不良事件及时进行收集、分析、评价、处置。发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lastRenderedPageBreak/>
        <w:t>生严重不良事件时</w:t>
      </w:r>
      <w:r w:rsidRPr="00636213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应当按照《医疗器械临床试验质量管理规范》规定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上报。</w:t>
      </w:r>
    </w:p>
    <w:p w:rsidR="00AC374A" w:rsidRPr="0093056B" w:rsidRDefault="00AC374A" w:rsidP="00AC374A">
      <w:pPr>
        <w:widowControl/>
        <w:spacing w:line="440" w:lineRule="exact"/>
        <w:ind w:firstLineChars="196" w:firstLine="627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AC374A" w:rsidRPr="0093056B" w:rsidRDefault="00AC374A" w:rsidP="00AC374A">
      <w:pPr>
        <w:widowControl/>
        <w:spacing w:line="44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93056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第四章 临床试验后处理</w:t>
      </w:r>
    </w:p>
    <w:p w:rsidR="00AC374A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第二十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一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 xml:space="preserve"> 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研究者应当确保所使用的、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废弃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的或者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返还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的试验用医疗器械与申办者提供的一致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记录至少包括: </w:t>
      </w:r>
      <w:r w:rsidRPr="00021E6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</w:t>
      </w:r>
      <w:r w:rsidRPr="00021E65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临床试验名称、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试验用医疗器械信息（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产品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名称、规格型号、生产日期、批号或序列号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等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）、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返还产品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数量、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日期、</w:t>
      </w:r>
      <w:r w:rsidRPr="004F1320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交接双方签名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等内容。</w:t>
      </w:r>
    </w:p>
    <w:p w:rsidR="00AC374A" w:rsidRPr="0093056B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第二十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二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临床试验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结束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后，申办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者、</w:t>
      </w:r>
      <w:r w:rsidRPr="00364EB8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临床试验机构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应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当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按照国家有关规定对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剩余的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试验用医疗器械进行处理，并留存相关记录，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确保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试验用医疗器械不能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再次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用于临床使用。</w:t>
      </w:r>
    </w:p>
    <w:p w:rsidR="00AC374A" w:rsidRPr="0093056B" w:rsidRDefault="00AC374A" w:rsidP="00AC374A">
      <w:pPr>
        <w:widowControl/>
        <w:spacing w:line="440" w:lineRule="exact"/>
        <w:ind w:firstLineChars="196" w:firstLine="627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AC374A" w:rsidRPr="0093056B" w:rsidRDefault="00AC374A" w:rsidP="00AC374A">
      <w:pPr>
        <w:widowControl/>
        <w:spacing w:line="440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93056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第五章 附 则</w:t>
      </w:r>
    </w:p>
    <w:p w:rsidR="00AC374A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第二十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三</w:t>
      </w:r>
      <w:r w:rsidRPr="0093056B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本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指南由北京市药品监督管理局负责解释。</w:t>
      </w:r>
    </w:p>
    <w:p w:rsidR="00AC374A" w:rsidRDefault="00AC374A" w:rsidP="00AC37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CA6317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第二十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四</w:t>
      </w:r>
      <w:r w:rsidRPr="00CA6317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本市临床试验机构</w:t>
      </w:r>
      <w:r w:rsidRPr="00CA631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开展的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外省市</w:t>
      </w:r>
      <w:r w:rsidRPr="00CA631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申办者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拟申请注册的</w:t>
      </w:r>
      <w:r w:rsidRPr="00CA631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医疗器械临床试验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可参照本指南执行。</w:t>
      </w:r>
    </w:p>
    <w:p w:rsidR="007B4C9D" w:rsidRPr="006F7B4A" w:rsidRDefault="00AC374A" w:rsidP="006F7B4A">
      <w:pPr>
        <w:widowControl/>
        <w:spacing w:line="440" w:lineRule="exact"/>
        <w:ind w:firstLineChars="196" w:firstLine="63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 w:rsidRPr="00282C3E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第二十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五</w:t>
      </w:r>
      <w:r w:rsidRPr="00282C3E"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ˎ̥" w:cs="Arial" w:hint="eastAsia"/>
          <w:b/>
          <w:color w:val="000000"/>
          <w:kern w:val="0"/>
          <w:sz w:val="32"/>
          <w:szCs w:val="32"/>
        </w:rPr>
        <w:t xml:space="preserve"> </w:t>
      </w:r>
      <w:r w:rsidRPr="00282C3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本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指南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自2020年</w:t>
      </w:r>
      <w:r w:rsidR="006F7B4A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月</w:t>
      </w:r>
      <w:r w:rsidR="006F7B4A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</w:t>
      </w:r>
      <w:r w:rsidRPr="0093056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日起施行。</w:t>
      </w:r>
      <w:bookmarkStart w:id="0" w:name="_GoBack"/>
      <w:bookmarkEnd w:id="0"/>
    </w:p>
    <w:sectPr w:rsidR="007B4C9D" w:rsidRPr="006F7B4A">
      <w:footerReference w:type="default" r:id="rId7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85" w:rsidRDefault="00246C85" w:rsidP="00AC374A">
      <w:r>
        <w:separator/>
      </w:r>
    </w:p>
  </w:endnote>
  <w:endnote w:type="continuationSeparator" w:id="0">
    <w:p w:rsidR="00246C85" w:rsidRDefault="00246C85" w:rsidP="00A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F0" w:rsidRDefault="002C27F0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F7B4A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F7B4A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BD70F0" w:rsidRDefault="00246C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85" w:rsidRDefault="00246C85" w:rsidP="00AC374A">
      <w:r>
        <w:separator/>
      </w:r>
    </w:p>
  </w:footnote>
  <w:footnote w:type="continuationSeparator" w:id="0">
    <w:p w:rsidR="00246C85" w:rsidRDefault="00246C85" w:rsidP="00AC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47"/>
    <w:rsid w:val="0001339E"/>
    <w:rsid w:val="00017F2C"/>
    <w:rsid w:val="00072C94"/>
    <w:rsid w:val="00084B1E"/>
    <w:rsid w:val="00091DB9"/>
    <w:rsid w:val="000B77B4"/>
    <w:rsid w:val="000D14C0"/>
    <w:rsid w:val="000D18D8"/>
    <w:rsid w:val="000D71E4"/>
    <w:rsid w:val="00101DD4"/>
    <w:rsid w:val="00121034"/>
    <w:rsid w:val="00130E99"/>
    <w:rsid w:val="0014240E"/>
    <w:rsid w:val="00163359"/>
    <w:rsid w:val="00166A8F"/>
    <w:rsid w:val="00196B43"/>
    <w:rsid w:val="001B62EB"/>
    <w:rsid w:val="001C0612"/>
    <w:rsid w:val="001C4855"/>
    <w:rsid w:val="001D2D22"/>
    <w:rsid w:val="001D61D8"/>
    <w:rsid w:val="00224FB6"/>
    <w:rsid w:val="00231606"/>
    <w:rsid w:val="00243B00"/>
    <w:rsid w:val="00246C85"/>
    <w:rsid w:val="00260EDA"/>
    <w:rsid w:val="0027271A"/>
    <w:rsid w:val="00273588"/>
    <w:rsid w:val="00293E02"/>
    <w:rsid w:val="00297D67"/>
    <w:rsid w:val="002A1E42"/>
    <w:rsid w:val="002B5987"/>
    <w:rsid w:val="002C27F0"/>
    <w:rsid w:val="00331B33"/>
    <w:rsid w:val="003B78B3"/>
    <w:rsid w:val="003C24EB"/>
    <w:rsid w:val="003D48E8"/>
    <w:rsid w:val="003F3617"/>
    <w:rsid w:val="00401868"/>
    <w:rsid w:val="004269D8"/>
    <w:rsid w:val="00443433"/>
    <w:rsid w:val="004477DF"/>
    <w:rsid w:val="00496DCD"/>
    <w:rsid w:val="004A7B2E"/>
    <w:rsid w:val="004B4BCD"/>
    <w:rsid w:val="004C5EEF"/>
    <w:rsid w:val="004E17C4"/>
    <w:rsid w:val="004F5C21"/>
    <w:rsid w:val="00502509"/>
    <w:rsid w:val="00516696"/>
    <w:rsid w:val="00556B07"/>
    <w:rsid w:val="00567630"/>
    <w:rsid w:val="0058459D"/>
    <w:rsid w:val="005B7798"/>
    <w:rsid w:val="005C4BD2"/>
    <w:rsid w:val="005D3FA4"/>
    <w:rsid w:val="005F102B"/>
    <w:rsid w:val="00605F3B"/>
    <w:rsid w:val="0061460B"/>
    <w:rsid w:val="00620F55"/>
    <w:rsid w:val="00631380"/>
    <w:rsid w:val="0065370B"/>
    <w:rsid w:val="00681255"/>
    <w:rsid w:val="0068383F"/>
    <w:rsid w:val="006A4726"/>
    <w:rsid w:val="006A5FCA"/>
    <w:rsid w:val="006D1773"/>
    <w:rsid w:val="006D442D"/>
    <w:rsid w:val="006F7B4A"/>
    <w:rsid w:val="00716CDD"/>
    <w:rsid w:val="00717F94"/>
    <w:rsid w:val="00737D1A"/>
    <w:rsid w:val="0074753E"/>
    <w:rsid w:val="007B4C9D"/>
    <w:rsid w:val="007F5B7B"/>
    <w:rsid w:val="0080504C"/>
    <w:rsid w:val="00820B49"/>
    <w:rsid w:val="00826B0E"/>
    <w:rsid w:val="00836B40"/>
    <w:rsid w:val="00853934"/>
    <w:rsid w:val="008541DD"/>
    <w:rsid w:val="0085541B"/>
    <w:rsid w:val="00861FF1"/>
    <w:rsid w:val="008A2F4E"/>
    <w:rsid w:val="008A458C"/>
    <w:rsid w:val="008B22B4"/>
    <w:rsid w:val="008B5BBC"/>
    <w:rsid w:val="008C241B"/>
    <w:rsid w:val="008C2A72"/>
    <w:rsid w:val="008D5A38"/>
    <w:rsid w:val="008F4FC0"/>
    <w:rsid w:val="008F71FA"/>
    <w:rsid w:val="00922931"/>
    <w:rsid w:val="00923426"/>
    <w:rsid w:val="00931432"/>
    <w:rsid w:val="00943F47"/>
    <w:rsid w:val="009855A6"/>
    <w:rsid w:val="009950F3"/>
    <w:rsid w:val="009D17C4"/>
    <w:rsid w:val="009F67A7"/>
    <w:rsid w:val="00A01436"/>
    <w:rsid w:val="00A10237"/>
    <w:rsid w:val="00A578E4"/>
    <w:rsid w:val="00A60226"/>
    <w:rsid w:val="00AB0C7E"/>
    <w:rsid w:val="00AC1FDD"/>
    <w:rsid w:val="00AC374A"/>
    <w:rsid w:val="00AE5049"/>
    <w:rsid w:val="00B26F70"/>
    <w:rsid w:val="00B31730"/>
    <w:rsid w:val="00B34EB8"/>
    <w:rsid w:val="00B446D4"/>
    <w:rsid w:val="00B62846"/>
    <w:rsid w:val="00B70909"/>
    <w:rsid w:val="00BA63F4"/>
    <w:rsid w:val="00BB3142"/>
    <w:rsid w:val="00BB61F9"/>
    <w:rsid w:val="00BE18EB"/>
    <w:rsid w:val="00C4309C"/>
    <w:rsid w:val="00C52476"/>
    <w:rsid w:val="00C5600A"/>
    <w:rsid w:val="00C6387C"/>
    <w:rsid w:val="00C82275"/>
    <w:rsid w:val="00C8565A"/>
    <w:rsid w:val="00CA4A9C"/>
    <w:rsid w:val="00CB0D2C"/>
    <w:rsid w:val="00CB1B0F"/>
    <w:rsid w:val="00CB4919"/>
    <w:rsid w:val="00CD634A"/>
    <w:rsid w:val="00CE0612"/>
    <w:rsid w:val="00D12EDE"/>
    <w:rsid w:val="00D423B4"/>
    <w:rsid w:val="00D72AAD"/>
    <w:rsid w:val="00D80AC2"/>
    <w:rsid w:val="00D87729"/>
    <w:rsid w:val="00DA55FA"/>
    <w:rsid w:val="00DB2C77"/>
    <w:rsid w:val="00DC19AB"/>
    <w:rsid w:val="00DD1DEB"/>
    <w:rsid w:val="00DE4692"/>
    <w:rsid w:val="00E019E0"/>
    <w:rsid w:val="00E129AC"/>
    <w:rsid w:val="00E53A11"/>
    <w:rsid w:val="00E63FA5"/>
    <w:rsid w:val="00E75994"/>
    <w:rsid w:val="00EA1785"/>
    <w:rsid w:val="00EC28A1"/>
    <w:rsid w:val="00EC719F"/>
    <w:rsid w:val="00ED09A1"/>
    <w:rsid w:val="00ED5BFA"/>
    <w:rsid w:val="00EE32FD"/>
    <w:rsid w:val="00EE4475"/>
    <w:rsid w:val="00EF2D78"/>
    <w:rsid w:val="00F066F3"/>
    <w:rsid w:val="00F21932"/>
    <w:rsid w:val="00F50211"/>
    <w:rsid w:val="00F5185B"/>
    <w:rsid w:val="00F626BF"/>
    <w:rsid w:val="00FB0635"/>
    <w:rsid w:val="00FB6C8D"/>
    <w:rsid w:val="00FD09B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liuxin</cp:lastModifiedBy>
  <cp:revision>3</cp:revision>
  <dcterms:created xsi:type="dcterms:W3CDTF">2020-07-23T02:53:00Z</dcterms:created>
  <dcterms:modified xsi:type="dcterms:W3CDTF">2020-07-23T06:41:00Z</dcterms:modified>
</cp:coreProperties>
</file>