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DDB24">
      <w:pPr>
        <w:spacing w:line="360" w:lineRule="auto"/>
        <w:jc w:val="center"/>
        <w:rPr>
          <w:rFonts w:ascii="方正小标宋简体" w:hAnsi="宋体" w:eastAsia="方正小标宋简体" w:cs="Times New Roman"/>
          <w:bCs/>
          <w:color w:val="000000" w:themeColor="text1"/>
          <w:sz w:val="44"/>
          <w:szCs w:val="44"/>
        </w:rPr>
      </w:pPr>
      <w:r>
        <w:rPr>
          <w:rFonts w:hint="eastAsia" w:ascii="方正小标宋简体" w:hAnsi="宋体" w:eastAsia="方正小标宋简体" w:cs="Times New Roman"/>
          <w:bCs/>
          <w:color w:val="000000" w:themeColor="text1"/>
          <w:sz w:val="44"/>
          <w:szCs w:val="44"/>
        </w:rPr>
        <w:t>导丝产品技术审评规范</w:t>
      </w:r>
    </w:p>
    <w:p w14:paraId="1CCEBE3C">
      <w:pPr>
        <w:spacing w:line="360" w:lineRule="auto"/>
        <w:jc w:val="center"/>
        <w:rPr>
          <w:rFonts w:ascii="仿宋_GB2312" w:hAnsi="宋体" w:eastAsia="仿宋_GB2312" w:cs="Times New Roman"/>
          <w:bCs/>
          <w:color w:val="000000" w:themeColor="text1"/>
          <w:sz w:val="44"/>
          <w:szCs w:val="44"/>
        </w:rPr>
      </w:pPr>
    </w:p>
    <w:p w14:paraId="414F997A">
      <w:pPr>
        <w:spacing w:line="560" w:lineRule="exact"/>
        <w:ind w:firstLine="640" w:firstLineChars="200"/>
        <w:rPr>
          <w:rFonts w:ascii="仿宋_GB2312" w:hAnsi="Times New Roman" w:eastAsia="仿宋_GB2312" w:cs="Times New Roman"/>
          <w:color w:val="000000" w:themeColor="text1"/>
          <w:sz w:val="32"/>
          <w:szCs w:val="20"/>
        </w:rPr>
      </w:pPr>
      <w:r>
        <w:rPr>
          <w:rFonts w:hint="eastAsia" w:ascii="仿宋_GB2312" w:hAnsi="Times New Roman" w:eastAsia="仿宋_GB2312" w:cs="Times New Roman"/>
          <w:color w:val="000000" w:themeColor="text1"/>
          <w:sz w:val="32"/>
          <w:szCs w:val="20"/>
        </w:rPr>
        <w:t>本审评规范旨在指导和规范导丝产品的技术审评工作，帮助审评人员理解和掌握该类产品原理/机理、结构、性能、预期用途等内容，把握技术审评工作基本要求和尺度，对产品安全性、有效性作出系统评价。</w:t>
      </w:r>
    </w:p>
    <w:p w14:paraId="31FC5D5A">
      <w:pPr>
        <w:spacing w:line="560" w:lineRule="exact"/>
        <w:ind w:firstLine="640" w:firstLineChars="200"/>
        <w:rPr>
          <w:rFonts w:ascii="仿宋_GB2312" w:hAnsi="Times New Roman" w:eastAsia="仿宋_GB2312" w:cs="Times New Roman"/>
          <w:color w:val="000000" w:themeColor="text1"/>
          <w:sz w:val="32"/>
          <w:szCs w:val="20"/>
        </w:rPr>
      </w:pPr>
      <w:r>
        <w:rPr>
          <w:rFonts w:hint="eastAsia" w:ascii="仿宋_GB2312" w:hAnsi="Times New Roman" w:eastAsia="仿宋_GB2312" w:cs="Times New Roman"/>
          <w:color w:val="000000" w:themeColor="text1"/>
          <w:sz w:val="32"/>
          <w:szCs w:val="20"/>
        </w:rPr>
        <w:t>本审评规范所确定的核心内容是在目前的科技认识水平和现有产品技术基础上形成的。因此，审评人员应注意其适宜性，密切关注适用标准及相关技术的最新进展，考虑产品的更新和变化。</w:t>
      </w:r>
    </w:p>
    <w:p w14:paraId="24F66ACD">
      <w:pPr>
        <w:spacing w:line="560" w:lineRule="exact"/>
        <w:ind w:firstLine="640" w:firstLineChars="200"/>
        <w:rPr>
          <w:rFonts w:ascii="仿宋_GB2312" w:hAnsi="Times New Roman" w:eastAsia="仿宋_GB2312" w:cs="Times New Roman"/>
          <w:color w:val="000000" w:themeColor="text1"/>
          <w:sz w:val="32"/>
          <w:szCs w:val="20"/>
        </w:rPr>
      </w:pPr>
      <w:r>
        <w:rPr>
          <w:rFonts w:hint="eastAsia" w:ascii="仿宋_GB2312" w:hAnsi="Times New Roman" w:eastAsia="仿宋_GB2312" w:cs="Times New Roman"/>
          <w:color w:val="000000" w:themeColor="text1"/>
          <w:sz w:val="32"/>
          <w:szCs w:val="20"/>
        </w:rPr>
        <w:t>本审评规范不作为法规强制执行，不包括行政审批要求。但是，审评人员需密切关注相关法规的变化，以确认申报产品是否符合法规要求。</w:t>
      </w:r>
    </w:p>
    <w:p w14:paraId="72131383">
      <w:pPr>
        <w:spacing w:line="520" w:lineRule="exact"/>
        <w:ind w:right="-67" w:rightChars="-32" w:firstLine="600" w:firstLineChars="200"/>
        <w:rPr>
          <w:rFonts w:ascii="黑体" w:hAnsi="黑体" w:eastAsia="黑体"/>
          <w:color w:val="000000" w:themeColor="text1"/>
          <w:sz w:val="30"/>
          <w:szCs w:val="30"/>
        </w:rPr>
      </w:pPr>
      <w:r>
        <w:rPr>
          <w:rFonts w:hint="eastAsia" w:ascii="黑体" w:hAnsi="黑体" w:eastAsia="黑体"/>
          <w:color w:val="000000" w:themeColor="text1"/>
          <w:sz w:val="30"/>
          <w:szCs w:val="30"/>
        </w:rPr>
        <w:t>一、适用范围</w:t>
      </w:r>
    </w:p>
    <w:p w14:paraId="24D323CD">
      <w:pPr>
        <w:spacing w:line="520" w:lineRule="exact"/>
        <w:ind w:firstLine="640" w:firstLineChars="200"/>
        <w:rPr>
          <w:rFonts w:ascii="仿宋_GB2312" w:hAnsi="Times New Roman" w:eastAsia="仿宋_GB2312" w:cs="Times New Roman"/>
          <w:color w:val="000000" w:themeColor="text1"/>
          <w:sz w:val="32"/>
          <w:szCs w:val="20"/>
        </w:rPr>
      </w:pPr>
      <w:r>
        <w:rPr>
          <w:rFonts w:hint="eastAsia" w:ascii="仿宋_GB2312" w:hAnsi="Times New Roman" w:eastAsia="仿宋_GB2312" w:cs="Times New Roman"/>
          <w:color w:val="000000" w:themeColor="text1"/>
          <w:sz w:val="32"/>
          <w:szCs w:val="20"/>
        </w:rPr>
        <w:t>本审评规范适用于管理类别为Ⅱ类的导丝。适用于引导器械，进入泌尿系腔道或组织</w:t>
      </w:r>
      <w:r>
        <w:rPr>
          <w:rFonts w:ascii="仿宋_GB2312" w:hAnsi="Times New Roman" w:eastAsia="仿宋_GB2312" w:cs="Times New Roman"/>
          <w:color w:val="000000" w:themeColor="text1"/>
          <w:sz w:val="32"/>
          <w:szCs w:val="20"/>
        </w:rPr>
        <w:t>。</w:t>
      </w:r>
    </w:p>
    <w:p w14:paraId="52E2812C">
      <w:pPr>
        <w:spacing w:line="520" w:lineRule="exact"/>
        <w:ind w:firstLine="640" w:firstLineChars="200"/>
        <w:rPr>
          <w:rFonts w:ascii="仿宋_GB2312" w:hAnsi="Times New Roman" w:eastAsia="仿宋_GB2312" w:cs="Times New Roman"/>
          <w:color w:val="000000" w:themeColor="text1"/>
          <w:sz w:val="32"/>
          <w:szCs w:val="20"/>
        </w:rPr>
      </w:pPr>
      <w:bookmarkStart w:id="0" w:name="OLE_LINK1"/>
      <w:r>
        <w:rPr>
          <w:rFonts w:hint="eastAsia" w:ascii="仿宋_GB2312" w:hAnsi="Times New Roman" w:eastAsia="仿宋_GB2312" w:cs="Times New Roman"/>
          <w:color w:val="000000" w:themeColor="text1"/>
          <w:sz w:val="32"/>
          <w:szCs w:val="20"/>
        </w:rPr>
        <w:t>根据</w:t>
      </w:r>
      <w:r>
        <w:rPr>
          <w:rFonts w:hint="eastAsia" w:ascii="仿宋_GB2312" w:hAnsi="Times New Roman" w:eastAsia="仿宋_GB2312" w:cs="Times New Roman"/>
          <w:color w:val="000000" w:themeColor="text1"/>
          <w:sz w:val="32"/>
          <w:szCs w:val="20"/>
          <w:lang w:val="en-US" w:eastAsia="zh-CN"/>
        </w:rPr>
        <w:t>原</w:t>
      </w:r>
      <w:r>
        <w:rPr>
          <w:rFonts w:hint="eastAsia" w:ascii="仿宋_GB2312" w:hAnsi="Times New Roman" w:eastAsia="仿宋_GB2312" w:cs="Times New Roman"/>
          <w:color w:val="000000" w:themeColor="text1"/>
          <w:sz w:val="32"/>
          <w:szCs w:val="20"/>
        </w:rPr>
        <w:t>国家</w:t>
      </w:r>
      <w:r>
        <w:rPr>
          <w:rFonts w:hint="eastAsia" w:ascii="仿宋_GB2312" w:hAnsi="Times New Roman" w:eastAsia="仿宋_GB2312" w:cs="Times New Roman"/>
          <w:color w:val="000000" w:themeColor="text1"/>
          <w:sz w:val="32"/>
          <w:szCs w:val="20"/>
          <w:lang w:val="en-US" w:eastAsia="zh-CN"/>
        </w:rPr>
        <w:t>食品</w:t>
      </w:r>
      <w:r>
        <w:rPr>
          <w:rFonts w:hint="eastAsia" w:ascii="仿宋_GB2312" w:hAnsi="Times New Roman" w:eastAsia="仿宋_GB2312" w:cs="Times New Roman"/>
          <w:color w:val="000000" w:themeColor="text1"/>
          <w:sz w:val="32"/>
          <w:szCs w:val="20"/>
        </w:rPr>
        <w:t>药品监督管理总局公告2017第104号《医疗器械分类目录》中管理类别为Ⅱ类，编码为02-1</w:t>
      </w:r>
      <w:r>
        <w:rPr>
          <w:rFonts w:ascii="仿宋_GB2312" w:hAnsi="Times New Roman" w:eastAsia="仿宋_GB2312" w:cs="Times New Roman"/>
          <w:color w:val="000000" w:themeColor="text1"/>
          <w:sz w:val="32"/>
          <w:szCs w:val="20"/>
        </w:rPr>
        <w:t>2</w:t>
      </w:r>
      <w:r>
        <w:rPr>
          <w:rFonts w:hint="eastAsia" w:ascii="仿宋_GB2312" w:hAnsi="Times New Roman" w:eastAsia="仿宋_GB2312" w:cs="Times New Roman"/>
          <w:color w:val="000000" w:themeColor="text1"/>
          <w:sz w:val="32"/>
          <w:szCs w:val="20"/>
        </w:rPr>
        <w:t>-03项下用于引导器械，进入腔道或组织的导丝类产品。</w:t>
      </w:r>
      <w:bookmarkEnd w:id="0"/>
    </w:p>
    <w:p w14:paraId="118BC3C5">
      <w:pPr>
        <w:spacing w:line="520" w:lineRule="exact"/>
        <w:ind w:right="-67" w:rightChars="-32"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二、技术审查要点</w:t>
      </w:r>
    </w:p>
    <w:p w14:paraId="59E7F20B">
      <w:pPr>
        <w:spacing w:line="520" w:lineRule="exact"/>
        <w:ind w:firstLine="640" w:firstLineChars="200"/>
        <w:rPr>
          <w:rFonts w:ascii="楷体_GB2312" w:hAnsi="楷体" w:eastAsia="楷体_GB2312"/>
          <w:color w:val="000000" w:themeColor="text1"/>
          <w:sz w:val="32"/>
          <w:szCs w:val="32"/>
        </w:rPr>
      </w:pPr>
      <w:r>
        <w:rPr>
          <w:rFonts w:hint="eastAsia" w:ascii="楷体_GB2312" w:hAnsi="楷体" w:eastAsia="楷体_GB2312"/>
          <w:color w:val="000000" w:themeColor="text1"/>
          <w:sz w:val="32"/>
          <w:szCs w:val="32"/>
        </w:rPr>
        <w:t>（一）产品名称的要求</w:t>
      </w:r>
    </w:p>
    <w:p w14:paraId="55AD977E">
      <w:pPr>
        <w:adjustRightInd w:val="0"/>
        <w:snapToGrid w:val="0"/>
        <w:spacing w:line="520" w:lineRule="exact"/>
        <w:ind w:firstLine="627" w:firstLineChars="196"/>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产品的命名应符合《医疗器械通用名称命名规则》《无源手术器械通用名称命名指导原则》，可采用《医疗器械分类目录》或发布的国家标准、行业标准上的通用名称，或以产品使用的材料特点和预期用途为依据命名。一般采用“特征词1+特征词</w:t>
      </w:r>
      <w:r>
        <w:rPr>
          <w:rFonts w:ascii="仿宋_GB2312" w:hAnsi="仿宋" w:eastAsia="仿宋_GB2312"/>
          <w:color w:val="000000" w:themeColor="text1"/>
          <w:sz w:val="32"/>
          <w:szCs w:val="32"/>
        </w:rPr>
        <w:t>2</w:t>
      </w:r>
      <w:r>
        <w:rPr>
          <w:rFonts w:hint="eastAsia" w:ascii="仿宋_GB2312" w:hAnsi="仿宋" w:eastAsia="仿宋_GB2312"/>
          <w:color w:val="000000" w:themeColor="text1"/>
          <w:sz w:val="32"/>
          <w:szCs w:val="32"/>
        </w:rPr>
        <w:t>+核心词”的命名方法，特征词一般不超过3个。如果一个产品可用于多个使用部位，产品名称可以不体现使用部位，但产品适用范围必须写明使用部位。如命名术语表1所示。</w:t>
      </w:r>
    </w:p>
    <w:p w14:paraId="2E0067A2">
      <w:pPr>
        <w:adjustRightInd w:val="0"/>
        <w:snapToGrid w:val="0"/>
        <w:spacing w:line="520" w:lineRule="exact"/>
        <w:ind w:firstLine="627" w:firstLineChars="196"/>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命名术语表1：。</w:t>
      </w:r>
    </w:p>
    <w:tbl>
      <w:tblPr>
        <w:tblStyle w:val="13"/>
        <w:tblW w:w="855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344"/>
        <w:gridCol w:w="1895"/>
        <w:gridCol w:w="4316"/>
      </w:tblGrid>
      <w:tr w14:paraId="6A356F4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7" w:hRule="atLeast"/>
          <w:jc w:val="center"/>
        </w:trPr>
        <w:tc>
          <w:tcPr>
            <w:tcW w:w="2344" w:type="dxa"/>
            <w:tcBorders>
              <w:top w:val="single" w:color="auto" w:sz="4" w:space="0"/>
              <w:left w:val="single" w:color="auto" w:sz="4" w:space="0"/>
              <w:bottom w:val="single" w:color="auto" w:sz="4" w:space="0"/>
              <w:right w:val="single" w:color="auto" w:sz="4" w:space="0"/>
            </w:tcBorders>
            <w:vAlign w:val="center"/>
          </w:tcPr>
          <w:p w14:paraId="3DFEA53C">
            <w:pPr>
              <w:autoSpaceDN w:val="0"/>
              <w:jc w:val="center"/>
              <w:rPr>
                <w:rFonts w:ascii="仿宋" w:hAnsi="仿宋" w:eastAsia="仿宋" w:cs="黑体"/>
                <w:bCs/>
                <w:color w:val="000000" w:themeColor="text1"/>
                <w:kern w:val="0"/>
                <w:sz w:val="24"/>
                <w:szCs w:val="21"/>
              </w:rPr>
            </w:pPr>
            <w:r>
              <w:rPr>
                <w:rFonts w:hint="eastAsia" w:ascii="仿宋" w:hAnsi="仿宋" w:eastAsia="仿宋" w:cs="黑体"/>
                <w:bCs/>
                <w:color w:val="000000" w:themeColor="text1"/>
                <w:sz w:val="24"/>
                <w:szCs w:val="21"/>
              </w:rPr>
              <w:t>术语类别</w:t>
            </w:r>
          </w:p>
        </w:tc>
        <w:tc>
          <w:tcPr>
            <w:tcW w:w="1895" w:type="dxa"/>
            <w:tcBorders>
              <w:top w:val="single" w:color="auto" w:sz="4" w:space="0"/>
              <w:left w:val="single" w:color="auto" w:sz="4" w:space="0"/>
              <w:bottom w:val="single" w:color="auto" w:sz="4" w:space="0"/>
              <w:right w:val="single" w:color="auto" w:sz="4" w:space="0"/>
            </w:tcBorders>
            <w:vAlign w:val="center"/>
          </w:tcPr>
          <w:p w14:paraId="03A5E626">
            <w:pPr>
              <w:autoSpaceDN w:val="0"/>
              <w:jc w:val="center"/>
              <w:rPr>
                <w:rFonts w:ascii="仿宋" w:hAnsi="仿宋" w:eastAsia="仿宋" w:cs="黑体"/>
                <w:bCs/>
                <w:color w:val="000000" w:themeColor="text1"/>
                <w:kern w:val="0"/>
                <w:sz w:val="24"/>
                <w:szCs w:val="21"/>
              </w:rPr>
            </w:pPr>
            <w:r>
              <w:rPr>
                <w:rFonts w:hint="eastAsia" w:ascii="仿宋" w:hAnsi="仿宋" w:eastAsia="仿宋" w:cs="黑体"/>
                <w:bCs/>
                <w:color w:val="000000" w:themeColor="text1"/>
                <w:sz w:val="24"/>
                <w:szCs w:val="21"/>
              </w:rPr>
              <w:t>术语名称</w:t>
            </w:r>
          </w:p>
        </w:tc>
        <w:tc>
          <w:tcPr>
            <w:tcW w:w="4316" w:type="dxa"/>
            <w:tcBorders>
              <w:top w:val="single" w:color="auto" w:sz="4" w:space="0"/>
              <w:left w:val="single" w:color="auto" w:sz="4" w:space="0"/>
              <w:bottom w:val="single" w:color="auto" w:sz="4" w:space="0"/>
              <w:right w:val="single" w:color="auto" w:sz="4" w:space="0"/>
            </w:tcBorders>
            <w:vAlign w:val="center"/>
          </w:tcPr>
          <w:p w14:paraId="61E35D4E">
            <w:pPr>
              <w:autoSpaceDN w:val="0"/>
              <w:jc w:val="center"/>
              <w:rPr>
                <w:rFonts w:ascii="仿宋" w:hAnsi="仿宋" w:eastAsia="仿宋" w:cs="黑体"/>
                <w:bCs/>
                <w:color w:val="000000" w:themeColor="text1"/>
                <w:kern w:val="0"/>
                <w:sz w:val="24"/>
                <w:szCs w:val="21"/>
              </w:rPr>
            </w:pPr>
            <w:r>
              <w:rPr>
                <w:rFonts w:hint="eastAsia" w:ascii="仿宋" w:hAnsi="仿宋" w:eastAsia="仿宋" w:cs="黑体"/>
                <w:bCs/>
                <w:color w:val="000000" w:themeColor="text1"/>
                <w:sz w:val="24"/>
                <w:szCs w:val="21"/>
              </w:rPr>
              <w:t>术语描述</w:t>
            </w:r>
          </w:p>
        </w:tc>
      </w:tr>
      <w:tr w14:paraId="77076B1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38" w:hRule="atLeast"/>
          <w:jc w:val="center"/>
        </w:trPr>
        <w:tc>
          <w:tcPr>
            <w:tcW w:w="2344" w:type="dxa"/>
            <w:tcBorders>
              <w:top w:val="single" w:color="auto" w:sz="4" w:space="0"/>
              <w:left w:val="single" w:color="auto" w:sz="4" w:space="0"/>
              <w:bottom w:val="single" w:color="auto" w:sz="4" w:space="0"/>
              <w:right w:val="single" w:color="auto" w:sz="4" w:space="0"/>
            </w:tcBorders>
            <w:vAlign w:val="center"/>
          </w:tcPr>
          <w:p w14:paraId="162487A5">
            <w:pPr>
              <w:autoSpaceDN w:val="0"/>
              <w:jc w:val="center"/>
              <w:rPr>
                <w:rFonts w:ascii="仿宋" w:hAnsi="仿宋" w:eastAsia="仿宋" w:cs="Times New Roman"/>
                <w:bCs/>
                <w:color w:val="000000" w:themeColor="text1"/>
                <w:kern w:val="0"/>
                <w:sz w:val="24"/>
                <w:szCs w:val="21"/>
              </w:rPr>
            </w:pPr>
            <w:r>
              <w:rPr>
                <w:rFonts w:ascii="仿宋" w:hAnsi="仿宋" w:eastAsia="仿宋" w:cs="Times New Roman"/>
                <w:bCs/>
                <w:color w:val="000000" w:themeColor="text1"/>
                <w:kern w:val="0"/>
                <w:sz w:val="24"/>
                <w:szCs w:val="21"/>
              </w:rPr>
              <w:t>核心词</w:t>
            </w:r>
          </w:p>
        </w:tc>
        <w:tc>
          <w:tcPr>
            <w:tcW w:w="1895" w:type="dxa"/>
            <w:tcBorders>
              <w:top w:val="single" w:color="auto" w:sz="4" w:space="0"/>
              <w:left w:val="single" w:color="auto" w:sz="4" w:space="0"/>
              <w:bottom w:val="single" w:color="auto" w:sz="4" w:space="0"/>
              <w:right w:val="single" w:color="auto" w:sz="4" w:space="0"/>
            </w:tcBorders>
            <w:vAlign w:val="center"/>
          </w:tcPr>
          <w:p w14:paraId="7891254B">
            <w:pPr>
              <w:autoSpaceDN w:val="0"/>
              <w:jc w:val="center"/>
              <w:rPr>
                <w:rFonts w:ascii="仿宋" w:hAnsi="仿宋" w:eastAsia="仿宋" w:cs="Times New Roman"/>
                <w:bCs/>
                <w:color w:val="000000" w:themeColor="text1"/>
                <w:kern w:val="0"/>
                <w:sz w:val="24"/>
                <w:szCs w:val="21"/>
              </w:rPr>
            </w:pPr>
            <w:r>
              <w:rPr>
                <w:rFonts w:hint="eastAsia" w:ascii="仿宋" w:hAnsi="仿宋" w:eastAsia="仿宋" w:cs="Times New Roman"/>
                <w:bCs/>
                <w:color w:val="000000" w:themeColor="text1"/>
                <w:kern w:val="0"/>
                <w:sz w:val="24"/>
                <w:szCs w:val="21"/>
              </w:rPr>
              <w:t>导丝</w:t>
            </w:r>
          </w:p>
        </w:tc>
        <w:tc>
          <w:tcPr>
            <w:tcW w:w="4316" w:type="dxa"/>
            <w:tcBorders>
              <w:top w:val="single" w:color="auto" w:sz="4" w:space="0"/>
              <w:left w:val="single" w:color="auto" w:sz="4" w:space="0"/>
              <w:bottom w:val="single" w:color="auto" w:sz="4" w:space="0"/>
              <w:right w:val="single" w:color="auto" w:sz="4" w:space="0"/>
            </w:tcBorders>
            <w:vAlign w:val="center"/>
          </w:tcPr>
          <w:p w14:paraId="137D911D">
            <w:pPr>
              <w:autoSpaceDN w:val="0"/>
              <w:jc w:val="center"/>
              <w:rPr>
                <w:rFonts w:ascii="仿宋" w:hAnsi="仿宋" w:eastAsia="仿宋" w:cs="Times New Roman"/>
                <w:bCs/>
                <w:color w:val="000000" w:themeColor="text1"/>
                <w:kern w:val="0"/>
                <w:sz w:val="24"/>
                <w:szCs w:val="21"/>
              </w:rPr>
            </w:pPr>
            <w:r>
              <w:rPr>
                <w:rFonts w:ascii="仿宋" w:hAnsi="仿宋" w:eastAsia="仿宋" w:cs="Times New Roman"/>
                <w:bCs/>
                <w:color w:val="000000" w:themeColor="text1"/>
                <w:kern w:val="0"/>
                <w:sz w:val="24"/>
                <w:szCs w:val="21"/>
              </w:rPr>
              <w:t>用于</w:t>
            </w:r>
            <w:r>
              <w:rPr>
                <w:rFonts w:hint="eastAsia" w:ascii="仿宋" w:hAnsi="仿宋" w:eastAsia="仿宋" w:cs="Times New Roman"/>
                <w:bCs/>
                <w:color w:val="000000" w:themeColor="text1"/>
                <w:kern w:val="0"/>
                <w:sz w:val="24"/>
                <w:szCs w:val="21"/>
              </w:rPr>
              <w:t>引导器械，进入腔道或组织。（也可具体描述，如：用于引导输尿管支架或其他器械，进入输尿管）</w:t>
            </w:r>
          </w:p>
        </w:tc>
      </w:tr>
      <w:tr w14:paraId="19BD027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08" w:hRule="atLeast"/>
          <w:jc w:val="center"/>
        </w:trPr>
        <w:tc>
          <w:tcPr>
            <w:tcW w:w="2344" w:type="dxa"/>
            <w:vMerge w:val="restart"/>
            <w:tcBorders>
              <w:top w:val="single" w:color="auto" w:sz="4" w:space="0"/>
              <w:left w:val="single" w:color="auto" w:sz="4" w:space="0"/>
              <w:bottom w:val="single" w:color="auto" w:sz="4" w:space="0"/>
              <w:right w:val="single" w:color="auto" w:sz="4" w:space="0"/>
            </w:tcBorders>
            <w:vAlign w:val="center"/>
          </w:tcPr>
          <w:p w14:paraId="1BD8F982">
            <w:pPr>
              <w:autoSpaceDN w:val="0"/>
              <w:jc w:val="center"/>
              <w:rPr>
                <w:rFonts w:ascii="仿宋" w:hAnsi="仿宋" w:eastAsia="仿宋" w:cs="Times New Roman"/>
                <w:bCs/>
                <w:color w:val="000000" w:themeColor="text1"/>
                <w:kern w:val="0"/>
                <w:sz w:val="24"/>
                <w:szCs w:val="21"/>
              </w:rPr>
            </w:pPr>
            <w:r>
              <w:rPr>
                <w:rFonts w:ascii="仿宋" w:hAnsi="仿宋" w:eastAsia="仿宋" w:cs="Times New Roman"/>
                <w:bCs/>
                <w:color w:val="000000" w:themeColor="text1"/>
                <w:kern w:val="0"/>
                <w:sz w:val="24"/>
                <w:szCs w:val="21"/>
              </w:rPr>
              <w:t>特征词1-使用和提供形式</w:t>
            </w:r>
          </w:p>
        </w:tc>
        <w:tc>
          <w:tcPr>
            <w:tcW w:w="1895" w:type="dxa"/>
            <w:tcBorders>
              <w:top w:val="single" w:color="auto" w:sz="4" w:space="0"/>
              <w:left w:val="single" w:color="auto" w:sz="4" w:space="0"/>
              <w:bottom w:val="single" w:color="auto" w:sz="4" w:space="0"/>
              <w:right w:val="single" w:color="auto" w:sz="4" w:space="0"/>
            </w:tcBorders>
            <w:vAlign w:val="center"/>
          </w:tcPr>
          <w:p w14:paraId="561AA608">
            <w:pPr>
              <w:autoSpaceDN w:val="0"/>
              <w:jc w:val="center"/>
              <w:rPr>
                <w:rFonts w:ascii="仿宋" w:hAnsi="仿宋" w:eastAsia="仿宋" w:cs="Times New Roman"/>
                <w:bCs/>
                <w:color w:val="000000" w:themeColor="text1"/>
                <w:kern w:val="0"/>
                <w:sz w:val="24"/>
                <w:szCs w:val="21"/>
              </w:rPr>
            </w:pPr>
            <w:r>
              <w:rPr>
                <w:rFonts w:ascii="仿宋" w:hAnsi="仿宋" w:eastAsia="仿宋" w:cs="Times New Roman"/>
                <w:bCs/>
                <w:color w:val="000000" w:themeColor="text1"/>
                <w:kern w:val="0"/>
                <w:sz w:val="24"/>
                <w:szCs w:val="21"/>
              </w:rPr>
              <w:t>一次性使用无菌</w:t>
            </w:r>
          </w:p>
        </w:tc>
        <w:tc>
          <w:tcPr>
            <w:tcW w:w="4316" w:type="dxa"/>
            <w:tcBorders>
              <w:top w:val="single" w:color="auto" w:sz="4" w:space="0"/>
              <w:left w:val="single" w:color="auto" w:sz="4" w:space="0"/>
              <w:bottom w:val="single" w:color="auto" w:sz="4" w:space="0"/>
              <w:right w:val="single" w:color="auto" w:sz="4" w:space="0"/>
            </w:tcBorders>
            <w:vAlign w:val="center"/>
          </w:tcPr>
          <w:p w14:paraId="4C938A0B">
            <w:pPr>
              <w:autoSpaceDN w:val="0"/>
              <w:jc w:val="center"/>
              <w:rPr>
                <w:rFonts w:ascii="仿宋" w:hAnsi="仿宋" w:eastAsia="仿宋" w:cs="Times New Roman"/>
                <w:bCs/>
                <w:color w:val="000000" w:themeColor="text1"/>
                <w:kern w:val="0"/>
                <w:sz w:val="24"/>
                <w:szCs w:val="21"/>
              </w:rPr>
            </w:pPr>
            <w:r>
              <w:rPr>
                <w:rFonts w:ascii="仿宋" w:hAnsi="仿宋" w:eastAsia="仿宋" w:cs="Times New Roman"/>
                <w:bCs/>
                <w:color w:val="000000" w:themeColor="text1"/>
                <w:kern w:val="0"/>
                <w:sz w:val="24"/>
                <w:szCs w:val="21"/>
              </w:rPr>
              <w:t>以无菌形式提供，且仅供一次性使用，或在一次医疗操作过程中只能用于一例患者。</w:t>
            </w:r>
          </w:p>
        </w:tc>
      </w:tr>
      <w:tr w14:paraId="77B0F80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30" w:hRule="atLeast"/>
          <w:jc w:val="center"/>
        </w:trPr>
        <w:tc>
          <w:tcPr>
            <w:tcW w:w="2344" w:type="dxa"/>
            <w:vMerge w:val="continue"/>
            <w:tcBorders>
              <w:top w:val="single" w:color="auto" w:sz="4" w:space="0"/>
              <w:left w:val="single" w:color="auto" w:sz="4" w:space="0"/>
              <w:bottom w:val="single" w:color="auto" w:sz="4" w:space="0"/>
              <w:right w:val="single" w:color="auto" w:sz="4" w:space="0"/>
            </w:tcBorders>
            <w:vAlign w:val="center"/>
          </w:tcPr>
          <w:p w14:paraId="686D2ED2">
            <w:pPr>
              <w:rPr>
                <w:rFonts w:ascii="仿宋" w:hAnsi="仿宋" w:eastAsia="仿宋" w:cs="Times New Roman"/>
                <w:color w:val="000000" w:themeColor="text1"/>
                <w:sz w:val="24"/>
                <w:szCs w:val="24"/>
              </w:rPr>
            </w:pPr>
          </w:p>
        </w:tc>
        <w:tc>
          <w:tcPr>
            <w:tcW w:w="1895" w:type="dxa"/>
            <w:tcBorders>
              <w:top w:val="single" w:color="auto" w:sz="4" w:space="0"/>
              <w:left w:val="single" w:color="auto" w:sz="4" w:space="0"/>
              <w:bottom w:val="single" w:color="auto" w:sz="4" w:space="0"/>
              <w:right w:val="single" w:color="auto" w:sz="4" w:space="0"/>
            </w:tcBorders>
            <w:vAlign w:val="center"/>
          </w:tcPr>
          <w:p w14:paraId="6CE1ED3F">
            <w:pPr>
              <w:autoSpaceDN w:val="0"/>
              <w:jc w:val="center"/>
              <w:rPr>
                <w:rFonts w:ascii="仿宋" w:hAnsi="仿宋" w:eastAsia="仿宋" w:cs="Times New Roman"/>
                <w:bCs/>
                <w:color w:val="000000" w:themeColor="text1"/>
                <w:kern w:val="0"/>
                <w:sz w:val="24"/>
                <w:szCs w:val="21"/>
              </w:rPr>
            </w:pPr>
            <w:r>
              <w:rPr>
                <w:rFonts w:ascii="仿宋" w:hAnsi="仿宋" w:eastAsia="仿宋" w:cs="Times New Roman"/>
                <w:bCs/>
                <w:color w:val="000000" w:themeColor="text1"/>
                <w:kern w:val="0"/>
                <w:sz w:val="24"/>
                <w:szCs w:val="21"/>
              </w:rPr>
              <w:t>可重复使用</w:t>
            </w:r>
          </w:p>
          <w:p w14:paraId="661E3F35">
            <w:pPr>
              <w:autoSpaceDN w:val="0"/>
              <w:jc w:val="center"/>
              <w:rPr>
                <w:rFonts w:ascii="仿宋" w:hAnsi="仿宋" w:eastAsia="仿宋" w:cs="Times New Roman"/>
                <w:bCs/>
                <w:color w:val="000000" w:themeColor="text1"/>
                <w:kern w:val="0"/>
                <w:sz w:val="24"/>
                <w:szCs w:val="21"/>
              </w:rPr>
            </w:pPr>
            <w:r>
              <w:rPr>
                <w:rFonts w:ascii="仿宋" w:hAnsi="仿宋" w:eastAsia="仿宋" w:cs="Times New Roman"/>
                <w:bCs/>
                <w:color w:val="000000" w:themeColor="text1"/>
                <w:kern w:val="0"/>
                <w:sz w:val="24"/>
                <w:szCs w:val="21"/>
              </w:rPr>
              <w:t>（缺省）</w:t>
            </w:r>
          </w:p>
        </w:tc>
        <w:tc>
          <w:tcPr>
            <w:tcW w:w="4316" w:type="dxa"/>
            <w:tcBorders>
              <w:top w:val="single" w:color="auto" w:sz="4" w:space="0"/>
              <w:left w:val="single" w:color="auto" w:sz="4" w:space="0"/>
              <w:bottom w:val="single" w:color="auto" w:sz="4" w:space="0"/>
              <w:right w:val="single" w:color="auto" w:sz="4" w:space="0"/>
            </w:tcBorders>
            <w:vAlign w:val="center"/>
          </w:tcPr>
          <w:p w14:paraId="6C0EC573">
            <w:pPr>
              <w:autoSpaceDN w:val="0"/>
              <w:jc w:val="center"/>
              <w:rPr>
                <w:rFonts w:ascii="仿宋" w:hAnsi="仿宋" w:eastAsia="仿宋" w:cs="Times New Roman"/>
                <w:bCs/>
                <w:color w:val="000000" w:themeColor="text1"/>
                <w:kern w:val="0"/>
                <w:sz w:val="24"/>
                <w:szCs w:val="21"/>
              </w:rPr>
            </w:pPr>
            <w:r>
              <w:rPr>
                <w:rFonts w:ascii="仿宋" w:hAnsi="仿宋" w:eastAsia="仿宋" w:cs="Times New Roman"/>
                <w:bCs/>
                <w:color w:val="000000" w:themeColor="text1"/>
                <w:kern w:val="0"/>
                <w:sz w:val="24"/>
                <w:szCs w:val="21"/>
              </w:rPr>
              <w:t>经一定处理后可再次使用。</w:t>
            </w:r>
          </w:p>
        </w:tc>
      </w:tr>
      <w:tr w14:paraId="4BA3317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08" w:hRule="atLeast"/>
          <w:jc w:val="center"/>
        </w:trPr>
        <w:tc>
          <w:tcPr>
            <w:tcW w:w="2344" w:type="dxa"/>
            <w:tcBorders>
              <w:top w:val="single" w:color="auto" w:sz="4" w:space="0"/>
              <w:left w:val="single" w:color="auto" w:sz="4" w:space="0"/>
              <w:bottom w:val="single" w:color="auto" w:sz="4" w:space="0"/>
              <w:right w:val="single" w:color="auto" w:sz="4" w:space="0"/>
            </w:tcBorders>
            <w:vAlign w:val="center"/>
          </w:tcPr>
          <w:p w14:paraId="1025E102">
            <w:pPr>
              <w:autoSpaceDN w:val="0"/>
              <w:jc w:val="center"/>
              <w:rPr>
                <w:rFonts w:ascii="仿宋" w:hAnsi="仿宋" w:eastAsia="仿宋" w:cs="Times New Roman"/>
                <w:bCs/>
                <w:color w:val="000000" w:themeColor="text1"/>
                <w:kern w:val="0"/>
                <w:sz w:val="24"/>
                <w:szCs w:val="21"/>
              </w:rPr>
            </w:pPr>
            <w:r>
              <w:rPr>
                <w:rFonts w:ascii="仿宋" w:hAnsi="仿宋" w:eastAsia="仿宋" w:cs="Times New Roman"/>
                <w:bCs/>
                <w:color w:val="000000" w:themeColor="text1"/>
                <w:kern w:val="0"/>
                <w:sz w:val="24"/>
                <w:szCs w:val="21"/>
              </w:rPr>
              <w:t>特征词</w:t>
            </w:r>
            <w:r>
              <w:rPr>
                <w:rFonts w:hint="eastAsia" w:ascii="仿宋" w:hAnsi="仿宋" w:eastAsia="仿宋" w:cs="Times New Roman"/>
                <w:bCs/>
                <w:color w:val="000000" w:themeColor="text1"/>
                <w:kern w:val="0"/>
                <w:sz w:val="24"/>
                <w:szCs w:val="21"/>
              </w:rPr>
              <w:t>2</w:t>
            </w:r>
            <w:r>
              <w:rPr>
                <w:rFonts w:ascii="仿宋" w:hAnsi="仿宋" w:eastAsia="仿宋" w:cs="Times New Roman"/>
                <w:bCs/>
                <w:color w:val="000000" w:themeColor="text1"/>
                <w:kern w:val="0"/>
                <w:sz w:val="24"/>
                <w:szCs w:val="21"/>
              </w:rPr>
              <w:t>-使用部位</w:t>
            </w:r>
          </w:p>
        </w:tc>
        <w:tc>
          <w:tcPr>
            <w:tcW w:w="1895" w:type="dxa"/>
            <w:tcBorders>
              <w:top w:val="single" w:color="auto" w:sz="4" w:space="0"/>
              <w:left w:val="single" w:color="auto" w:sz="4" w:space="0"/>
              <w:bottom w:val="single" w:color="auto" w:sz="4" w:space="0"/>
              <w:right w:val="single" w:color="auto" w:sz="4" w:space="0"/>
            </w:tcBorders>
            <w:vAlign w:val="center"/>
          </w:tcPr>
          <w:p w14:paraId="6A7A7AE2">
            <w:pPr>
              <w:autoSpaceDN w:val="0"/>
              <w:jc w:val="center"/>
              <w:rPr>
                <w:rFonts w:ascii="仿宋" w:hAnsi="仿宋" w:eastAsia="仿宋" w:cs="Times New Roman"/>
                <w:bCs/>
                <w:color w:val="000000" w:themeColor="text1"/>
                <w:kern w:val="0"/>
                <w:sz w:val="24"/>
                <w:szCs w:val="21"/>
              </w:rPr>
            </w:pPr>
            <w:r>
              <w:rPr>
                <w:rFonts w:hint="eastAsia" w:ascii="仿宋" w:hAnsi="仿宋" w:eastAsia="仿宋" w:cs="Times New Roman"/>
                <w:bCs/>
                <w:color w:val="000000" w:themeColor="text1"/>
                <w:kern w:val="0"/>
                <w:sz w:val="24"/>
                <w:szCs w:val="21"/>
              </w:rPr>
              <w:t>泌尿系腔道或组织部位使用</w:t>
            </w:r>
          </w:p>
        </w:tc>
        <w:tc>
          <w:tcPr>
            <w:tcW w:w="4316" w:type="dxa"/>
            <w:tcBorders>
              <w:top w:val="single" w:color="auto" w:sz="4" w:space="0"/>
              <w:left w:val="single" w:color="auto" w:sz="4" w:space="0"/>
              <w:bottom w:val="single" w:color="auto" w:sz="4" w:space="0"/>
              <w:right w:val="single" w:color="auto" w:sz="4" w:space="0"/>
            </w:tcBorders>
            <w:vAlign w:val="center"/>
          </w:tcPr>
          <w:p w14:paraId="0C046F50">
            <w:pPr>
              <w:autoSpaceDN w:val="0"/>
              <w:jc w:val="center"/>
              <w:rPr>
                <w:rFonts w:ascii="仿宋" w:hAnsi="仿宋" w:eastAsia="仿宋" w:cs="Times New Roman"/>
                <w:bCs/>
                <w:color w:val="000000" w:themeColor="text1"/>
                <w:kern w:val="0"/>
                <w:sz w:val="24"/>
                <w:szCs w:val="21"/>
              </w:rPr>
            </w:pPr>
            <w:r>
              <w:rPr>
                <w:rFonts w:hint="eastAsia" w:ascii="仿宋" w:hAnsi="仿宋" w:eastAsia="仿宋" w:cs="Times New Roman"/>
                <w:bCs/>
                <w:color w:val="000000" w:themeColor="text1"/>
                <w:kern w:val="0"/>
                <w:sz w:val="24"/>
                <w:szCs w:val="21"/>
              </w:rPr>
              <w:t>泌尿系腔道或组织</w:t>
            </w:r>
            <w:r>
              <w:rPr>
                <w:rFonts w:ascii="仿宋" w:hAnsi="仿宋" w:eastAsia="仿宋" w:cs="Times New Roman"/>
                <w:bCs/>
                <w:color w:val="000000" w:themeColor="text1"/>
                <w:kern w:val="0"/>
                <w:sz w:val="24"/>
                <w:szCs w:val="21"/>
              </w:rPr>
              <w:t>专用使用部位</w:t>
            </w:r>
          </w:p>
        </w:tc>
      </w:tr>
    </w:tbl>
    <w:p w14:paraId="0F619FA4">
      <w:pPr>
        <w:spacing w:line="520" w:lineRule="exact"/>
        <w:ind w:firstLine="640" w:firstLineChars="200"/>
        <w:rPr>
          <w:rFonts w:ascii="楷体_GB2312" w:hAnsi="楷体" w:eastAsia="楷体_GB2312"/>
          <w:color w:val="000000" w:themeColor="text1"/>
          <w:sz w:val="32"/>
          <w:szCs w:val="32"/>
        </w:rPr>
      </w:pPr>
      <w:r>
        <w:rPr>
          <w:rFonts w:hint="eastAsia" w:ascii="楷体_GB2312" w:hAnsi="楷体" w:eastAsia="楷体_GB2312"/>
          <w:color w:val="000000" w:themeColor="text1"/>
          <w:sz w:val="32"/>
          <w:szCs w:val="32"/>
        </w:rPr>
        <w:t>（二）产品的结构组成</w:t>
      </w:r>
    </w:p>
    <w:p w14:paraId="21C9B880">
      <w:pPr>
        <w:spacing w:line="48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导丝基本结构为芯丝，根据产品设计可有绕丝或聚合物护套、或安全丝，可有涂层、可分不同的头端结构部分。</w:t>
      </w:r>
    </w:p>
    <w:p w14:paraId="355C0BD3">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1、芯丝</w:t>
      </w:r>
    </w:p>
    <w:p w14:paraId="46ACA5C6">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通常由镍钛合金（NiTi）或</w:t>
      </w:r>
      <w:r>
        <w:rPr>
          <w:rFonts w:hint="eastAsia" w:ascii="仿宋" w:hAnsi="仿宋" w:eastAsia="仿宋" w:cs="仿宋"/>
          <w:color w:val="000000" w:themeColor="text1"/>
          <w:sz w:val="32"/>
          <w:szCs w:val="32"/>
        </w:rPr>
        <w:t>不锈钢等制成。芯丝呈圆柱形，其尖端可呈锥形或者流线形变细。</w:t>
      </w:r>
    </w:p>
    <w:p w14:paraId="5B937ED9">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2、绕丝或聚合物护套</w:t>
      </w:r>
    </w:p>
    <w:p w14:paraId="43360DE1">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绕丝：一般由不锈钢材料制成，以螺旋状缠绕，增加了导丝的支撑力、操控性，但另一方面增加了导丝与</w:t>
      </w:r>
      <w:r>
        <w:rPr>
          <w:rFonts w:hint="eastAsia" w:ascii="仿宋" w:hAnsi="仿宋" w:eastAsia="仿宋"/>
          <w:bCs/>
          <w:color w:val="000000" w:themeColor="text1"/>
          <w:sz w:val="32"/>
          <w:szCs w:val="32"/>
        </w:rPr>
        <w:t>腔道</w:t>
      </w:r>
      <w:r>
        <w:rPr>
          <w:rFonts w:hint="eastAsia" w:ascii="仿宋" w:hAnsi="仿宋" w:eastAsia="仿宋"/>
          <w:color w:val="000000" w:themeColor="text1"/>
          <w:sz w:val="32"/>
          <w:szCs w:val="32"/>
        </w:rPr>
        <w:t>之间的摩擦力，降低了导丝通过病变部位的能力。</w:t>
      </w:r>
    </w:p>
    <w:p w14:paraId="5BF40219">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聚合物护套：</w:t>
      </w:r>
      <w:r>
        <w:rPr>
          <w:rFonts w:hint="eastAsia" w:ascii="仿宋" w:hAnsi="仿宋" w:eastAsia="仿宋"/>
          <w:bCs/>
          <w:color w:val="000000" w:themeColor="text1"/>
          <w:sz w:val="32"/>
          <w:szCs w:val="32"/>
        </w:rPr>
        <w:t>聚合物护套由一种或多种高分子材料制成，如聚氨酯、聚四氟乙烯等，通常包裹</w:t>
      </w:r>
      <w:r>
        <w:rPr>
          <w:rFonts w:hint="eastAsia" w:ascii="仿宋" w:hAnsi="仿宋" w:eastAsia="仿宋"/>
          <w:color w:val="000000" w:themeColor="text1"/>
          <w:sz w:val="32"/>
          <w:szCs w:val="32"/>
        </w:rPr>
        <w:t>/涂覆</w:t>
      </w:r>
      <w:r>
        <w:rPr>
          <w:rFonts w:hint="eastAsia" w:ascii="仿宋" w:hAnsi="仿宋" w:eastAsia="仿宋"/>
          <w:bCs/>
          <w:color w:val="000000" w:themeColor="text1"/>
          <w:sz w:val="32"/>
          <w:szCs w:val="32"/>
        </w:rPr>
        <w:t>在芯丝外面，</w:t>
      </w:r>
      <w:r>
        <w:rPr>
          <w:rFonts w:hint="eastAsia" w:ascii="仿宋" w:hAnsi="仿宋" w:eastAsia="仿宋"/>
          <w:color w:val="000000" w:themeColor="text1"/>
          <w:sz w:val="32"/>
          <w:szCs w:val="32"/>
        </w:rPr>
        <w:t>使导丝表面变得更加光滑，减少了导丝与病变部位间的摩擦力，降低了通过阻力。</w:t>
      </w:r>
    </w:p>
    <w:p w14:paraId="49539CDD">
      <w:pPr>
        <w:spacing w:line="560" w:lineRule="exact"/>
        <w:ind w:firstLine="640" w:firstLineChars="200"/>
        <w:rPr>
          <w:rFonts w:ascii="仿宋" w:hAnsi="仿宋" w:eastAsia="仿宋"/>
          <w:bCs/>
          <w:color w:val="000000" w:themeColor="text1"/>
          <w:sz w:val="32"/>
          <w:szCs w:val="32"/>
        </w:rPr>
      </w:pPr>
      <w:r>
        <w:rPr>
          <w:rFonts w:hint="eastAsia" w:ascii="仿宋" w:hAnsi="仿宋" w:eastAsia="仿宋"/>
          <w:color w:val="000000" w:themeColor="text1"/>
          <w:sz w:val="32"/>
          <w:szCs w:val="32"/>
        </w:rPr>
        <w:t>3、安全丝</w:t>
      </w:r>
    </w:p>
    <w:p w14:paraId="773CC404">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用于使导丝头端脱落可能性最小的附加金属丝。</w:t>
      </w:r>
    </w:p>
    <w:p w14:paraId="0C646B37">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4、涂层</w:t>
      </w:r>
    </w:p>
    <w:p w14:paraId="11938F4E">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常见的涂层为亲水涂层，疏水涂层。亲水涂层材料通常有聚乙烯吡咯烷酮（PVP）、聚丙烯酰胺（</w:t>
      </w:r>
      <w:r>
        <w:rPr>
          <w:rFonts w:ascii="仿宋" w:hAnsi="仿宋" w:eastAsia="仿宋"/>
          <w:color w:val="000000" w:themeColor="text1"/>
          <w:sz w:val="32"/>
          <w:szCs w:val="32"/>
        </w:rPr>
        <w:t>PAM</w:t>
      </w:r>
      <w:r>
        <w:rPr>
          <w:rFonts w:hint="eastAsia" w:ascii="仿宋" w:hAnsi="仿宋" w:eastAsia="仿宋"/>
          <w:color w:val="000000" w:themeColor="text1"/>
          <w:sz w:val="32"/>
          <w:szCs w:val="32"/>
        </w:rPr>
        <w:t>）等，疏水涂层材料通常有聚四氟乙烯（PTFE）等。亲水涂层在干燥状态下为一薄层不光滑物质，遇水时吸引水分子，使导丝表面形成光滑凝胶状，降低了导丝的摩擦力，提高了导丝的推送性。疏水涂层排斥水分子，使导丝表面呈蜡样光滑，降低了导丝的摩擦力，提高了导丝的推送性。</w:t>
      </w:r>
    </w:p>
    <w:p w14:paraId="7EA0DF5E">
      <w:pPr>
        <w:spacing w:line="56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5</w:t>
      </w:r>
      <w:r>
        <w:rPr>
          <w:rFonts w:hint="eastAsia" w:ascii="仿宋" w:hAnsi="仿宋" w:eastAsia="仿宋"/>
          <w:color w:val="000000" w:themeColor="text1"/>
          <w:sz w:val="32"/>
          <w:szCs w:val="32"/>
        </w:rPr>
        <w:t>、头端结构</w:t>
      </w:r>
    </w:p>
    <w:p w14:paraId="046278B6">
      <w:pPr>
        <w:spacing w:line="560" w:lineRule="exact"/>
        <w:ind w:firstLine="640" w:firstLineChars="200"/>
        <w:rPr>
          <w:rFonts w:ascii="仿宋" w:hAnsi="仿宋" w:eastAsia="仿宋"/>
          <w:bCs/>
          <w:strike/>
          <w:color w:val="000000" w:themeColor="text1"/>
          <w:sz w:val="32"/>
          <w:szCs w:val="32"/>
        </w:rPr>
      </w:pPr>
      <w:r>
        <w:rPr>
          <w:rFonts w:hint="eastAsia" w:ascii="仿宋" w:hAnsi="仿宋" w:eastAsia="仿宋"/>
          <w:color w:val="000000" w:themeColor="text1"/>
          <w:sz w:val="32"/>
          <w:szCs w:val="32"/>
        </w:rPr>
        <w:t>头端形状有</w:t>
      </w:r>
      <w:r>
        <w:rPr>
          <w:rFonts w:hint="eastAsia" w:ascii="仿宋" w:hAnsi="仿宋" w:eastAsia="仿宋"/>
          <w:bCs/>
          <w:color w:val="000000" w:themeColor="text1"/>
          <w:sz w:val="32"/>
          <w:szCs w:val="32"/>
        </w:rPr>
        <w:t>直头、弯头（头端与导丝轴线弯曲成一定的角度）、J形及不同头端形状设计（如球头）。</w:t>
      </w:r>
    </w:p>
    <w:p w14:paraId="2297758B">
      <w:pPr>
        <w:spacing w:line="560" w:lineRule="exact"/>
        <w:rPr>
          <w:rFonts w:ascii="仿宋" w:hAnsi="仿宋" w:eastAsia="仿宋"/>
          <w:color w:val="000000" w:themeColor="text1"/>
          <w:sz w:val="32"/>
          <w:szCs w:val="32"/>
        </w:rPr>
      </w:pPr>
      <w:r>
        <w:rPr>
          <w:rFonts w:hint="eastAsia" w:ascii="仿宋" w:hAnsi="仿宋" w:eastAsia="仿宋"/>
          <w:color w:val="000000" w:themeColor="text1"/>
          <w:sz w:val="32"/>
          <w:szCs w:val="32"/>
        </w:rPr>
        <w:drawing>
          <wp:anchor distT="0" distB="0" distL="114300" distR="114300" simplePos="0" relativeHeight="251662336" behindDoc="0" locked="0" layoutInCell="1" allowOverlap="1">
            <wp:simplePos x="0" y="0"/>
            <wp:positionH relativeFrom="column">
              <wp:posOffset>985520</wp:posOffset>
            </wp:positionH>
            <wp:positionV relativeFrom="paragraph">
              <wp:posOffset>199390</wp:posOffset>
            </wp:positionV>
            <wp:extent cx="3924300" cy="666750"/>
            <wp:effectExtent l="0" t="0" r="0" b="0"/>
            <wp:wrapSquare wrapText="bothSides"/>
            <wp:docPr id="18" name="图片 18" descr="微信图片_20201023170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图片_202010231708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924300" cy="666750"/>
                    </a:xfrm>
                    <a:prstGeom prst="rect">
                      <a:avLst/>
                    </a:prstGeom>
                    <a:noFill/>
                    <a:ln>
                      <a:noFill/>
                    </a:ln>
                  </pic:spPr>
                </pic:pic>
              </a:graphicData>
            </a:graphic>
          </wp:anchor>
        </w:drawing>
      </w:r>
    </w:p>
    <w:p w14:paraId="543CAEF5">
      <w:pPr>
        <w:spacing w:line="520" w:lineRule="exact"/>
        <w:ind w:firstLine="560" w:firstLineChars="200"/>
        <w:rPr>
          <w:rFonts w:ascii="仿宋" w:hAnsi="仿宋" w:eastAsia="仿宋"/>
          <w:color w:val="000000" w:themeColor="text1"/>
          <w:sz w:val="28"/>
          <w:szCs w:val="28"/>
        </w:rPr>
      </w:pPr>
    </w:p>
    <w:p w14:paraId="2893BA1F">
      <w:pPr>
        <w:spacing w:line="520" w:lineRule="exact"/>
        <w:ind w:firstLine="560" w:firstLineChars="200"/>
        <w:rPr>
          <w:rFonts w:ascii="仿宋" w:hAnsi="仿宋" w:eastAsia="仿宋"/>
          <w:color w:val="000000" w:themeColor="text1"/>
          <w:sz w:val="28"/>
          <w:szCs w:val="28"/>
        </w:rPr>
      </w:pPr>
    </w:p>
    <w:p w14:paraId="7C3C3B78">
      <w:pPr>
        <w:numPr>
          <w:ilvl w:val="0"/>
          <w:numId w:val="1"/>
        </w:numPr>
        <w:spacing w:line="52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芯丝 2-绕丝</w:t>
      </w:r>
    </w:p>
    <w:p w14:paraId="430E52A5">
      <w:pPr>
        <w:spacing w:line="520" w:lineRule="exact"/>
        <w:jc w:val="center"/>
        <w:rPr>
          <w:rFonts w:ascii="黑体" w:hAnsi="黑体" w:eastAsia="黑体" w:cs="黑体"/>
          <w:color w:val="000000" w:themeColor="text1"/>
          <w:sz w:val="28"/>
          <w:szCs w:val="28"/>
        </w:rPr>
      </w:pPr>
      <w:r>
        <w:rPr>
          <w:rFonts w:hint="eastAsia" w:ascii="仿宋" w:hAnsi="仿宋" w:eastAsia="仿宋"/>
          <w:color w:val="000000" w:themeColor="text1"/>
          <w:sz w:val="28"/>
          <w:szCs w:val="28"/>
        </w:rPr>
        <w:drawing>
          <wp:anchor distT="45720" distB="45720" distL="114300" distR="114300" simplePos="0" relativeHeight="251663360" behindDoc="0" locked="0" layoutInCell="1" allowOverlap="1">
            <wp:simplePos x="0" y="0"/>
            <wp:positionH relativeFrom="column">
              <wp:posOffset>690880</wp:posOffset>
            </wp:positionH>
            <wp:positionV relativeFrom="paragraph">
              <wp:posOffset>675640</wp:posOffset>
            </wp:positionV>
            <wp:extent cx="3960495" cy="1049655"/>
            <wp:effectExtent l="0" t="0" r="0" b="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960495" cy="1049655"/>
                    </a:xfrm>
                    <a:prstGeom prst="rect">
                      <a:avLst/>
                    </a:prstGeom>
                    <a:noFill/>
                    <a:ln>
                      <a:noFill/>
                    </a:ln>
                  </pic:spPr>
                </pic:pic>
              </a:graphicData>
            </a:graphic>
          </wp:anchor>
        </w:drawing>
      </w:r>
      <w:r>
        <w:rPr>
          <w:rFonts w:hint="eastAsia" w:ascii="黑体" w:hAnsi="黑体" w:eastAsia="黑体" w:cs="黑体"/>
          <w:color w:val="000000" w:themeColor="text1"/>
          <w:sz w:val="28"/>
          <w:szCs w:val="28"/>
        </w:rPr>
        <w:t>导丝结构示例图1</w:t>
      </w:r>
    </w:p>
    <w:p w14:paraId="0F0E2E7D">
      <w:pPr>
        <w:numPr>
          <w:ilvl w:val="0"/>
          <w:numId w:val="2"/>
        </w:numPr>
        <w:spacing w:line="52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芯丝  3-聚合物护套  4-涂层</w:t>
      </w:r>
    </w:p>
    <w:p w14:paraId="7B2E5897">
      <w:pPr>
        <w:spacing w:line="520" w:lineRule="exact"/>
        <w:jc w:val="center"/>
        <w:rPr>
          <w:rFonts w:ascii="仿宋" w:hAnsi="仿宋" w:eastAsia="仿宋"/>
          <w:color w:val="000000" w:themeColor="text1"/>
          <w:sz w:val="28"/>
          <w:szCs w:val="28"/>
        </w:rPr>
      </w:pPr>
      <w:r>
        <w:rPr>
          <w:rFonts w:hint="eastAsia" w:ascii="黑体" w:hAnsi="黑体" w:eastAsia="黑体" w:cs="黑体"/>
          <w:color w:val="000000" w:themeColor="text1"/>
          <w:sz w:val="28"/>
          <w:szCs w:val="28"/>
        </w:rPr>
        <w:t>导丝结构示例图2</w:t>
      </w:r>
    </w:p>
    <w:p w14:paraId="232CEF68">
      <w:pPr>
        <w:spacing w:line="520" w:lineRule="exact"/>
        <w:rPr>
          <w:rFonts w:ascii="仿宋" w:hAnsi="仿宋" w:eastAsia="仿宋"/>
          <w:color w:val="000000" w:themeColor="text1"/>
          <w:sz w:val="28"/>
          <w:szCs w:val="28"/>
        </w:rPr>
      </w:pPr>
    </w:p>
    <w:p w14:paraId="1139276B">
      <w:pPr>
        <w:spacing w:line="520" w:lineRule="exact"/>
        <w:ind w:firstLine="2800" w:firstLineChars="1000"/>
        <w:rPr>
          <w:rFonts w:ascii="仿宋" w:hAnsi="仿宋" w:eastAsia="仿宋"/>
          <w:color w:val="000000" w:themeColor="text1"/>
          <w:sz w:val="28"/>
          <w:szCs w:val="28"/>
        </w:rPr>
      </w:pPr>
      <w:r>
        <w:rPr>
          <w:rFonts w:ascii="仿宋" w:hAnsi="仿宋" w:eastAsia="仿宋"/>
          <w:color w:val="000000" w:themeColor="text1"/>
          <w:sz w:val="28"/>
          <w:szCs w:val="28"/>
        </w:rPr>
        <w:drawing>
          <wp:anchor distT="45720" distB="45720" distL="114300" distR="114300" simplePos="0" relativeHeight="251661312" behindDoc="0" locked="0" layoutInCell="1" allowOverlap="1">
            <wp:simplePos x="0" y="0"/>
            <wp:positionH relativeFrom="column">
              <wp:posOffset>492125</wp:posOffset>
            </wp:positionH>
            <wp:positionV relativeFrom="paragraph">
              <wp:posOffset>147955</wp:posOffset>
            </wp:positionV>
            <wp:extent cx="4832350" cy="914400"/>
            <wp:effectExtent l="0" t="0" r="0" b="0"/>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832350" cy="914400"/>
                    </a:xfrm>
                    <a:prstGeom prst="rect">
                      <a:avLst/>
                    </a:prstGeom>
                    <a:noFill/>
                    <a:ln>
                      <a:noFill/>
                    </a:ln>
                  </pic:spPr>
                </pic:pic>
              </a:graphicData>
            </a:graphic>
          </wp:anchor>
        </w:drawing>
      </w:r>
      <w:r>
        <w:rPr>
          <w:rFonts w:hint="eastAsia" w:ascii="仿宋" w:hAnsi="仿宋" w:eastAsia="仿宋"/>
          <w:color w:val="000000" w:themeColor="text1"/>
          <w:sz w:val="28"/>
          <w:szCs w:val="28"/>
        </w:rPr>
        <w:t>1芯丝  3-聚合物护套</w:t>
      </w:r>
    </w:p>
    <w:p w14:paraId="6EEBF868">
      <w:pPr>
        <w:spacing w:line="52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drawing>
          <wp:anchor distT="0" distB="0" distL="114300" distR="114300" simplePos="0" relativeHeight="251659264" behindDoc="0" locked="0" layoutInCell="1" allowOverlap="1">
            <wp:simplePos x="0" y="0"/>
            <wp:positionH relativeFrom="column">
              <wp:posOffset>955675</wp:posOffset>
            </wp:positionH>
            <wp:positionV relativeFrom="paragraph">
              <wp:posOffset>345440</wp:posOffset>
            </wp:positionV>
            <wp:extent cx="4062730" cy="1487170"/>
            <wp:effectExtent l="0" t="0" r="0" b="0"/>
            <wp:wrapSquare wrapText="bothSides"/>
            <wp:docPr id="14" name="图片 14" descr="微信图片_20201022145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010221451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62730" cy="1487170"/>
                    </a:xfrm>
                    <a:prstGeom prst="rect">
                      <a:avLst/>
                    </a:prstGeom>
                    <a:noFill/>
                    <a:ln>
                      <a:noFill/>
                    </a:ln>
                  </pic:spPr>
                </pic:pic>
              </a:graphicData>
            </a:graphic>
          </wp:anchor>
        </w:drawing>
      </w:r>
      <w:r>
        <w:rPr>
          <w:color w:val="000000" w:themeColor="text1"/>
        </w:rPr>
        <w:pict>
          <v:shape id="_x0000_s1026" o:spid="_x0000_s1026" o:spt="202" type="#_x0000_t202" style="position:absolute;left:0pt;margin-left:309.65pt;margin-top:17.15pt;height:22.8pt;width:44.9pt;mso-wrap-distance-bottom:3.6pt;mso-wrap-distance-left:9pt;mso-wrap-distance-right:9pt;mso-wrap-distance-top:3.6pt;z-index:251666432;mso-width-relative:margin;mso-height-relative:margin;mso-height-percent:200;"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">
            <v:path/>
            <v:fill on="f" focussize="0,0"/>
            <v:stroke on="f" joinstyle="miter"/>
            <v:imagedata o:title=""/>
            <o:lock v:ext="edit"/>
            <v:textbox style="mso-fit-shape-to-text:t;">
              <w:txbxContent>
                <w:p w14:paraId="3565D26E">
                  <w:r>
                    <w:t>4</w:t>
                  </w:r>
                </w:p>
              </w:txbxContent>
            </v:textbox>
            <w10:wrap type="square"/>
          </v:shape>
        </w:pict>
      </w:r>
      <w:r>
        <w:rPr>
          <w:rFonts w:hint="eastAsia" w:ascii="黑体" w:hAnsi="黑体" w:eastAsia="黑体" w:cs="黑体"/>
          <w:color w:val="000000" w:themeColor="text1"/>
          <w:sz w:val="28"/>
          <w:szCs w:val="28"/>
        </w:rPr>
        <w:t>导丝结构示例图3</w:t>
      </w:r>
    </w:p>
    <w:p w14:paraId="5F3CA808">
      <w:pPr>
        <w:spacing w:line="520" w:lineRule="exact"/>
        <w:rPr>
          <w:rFonts w:ascii="仿宋" w:hAnsi="仿宋" w:eastAsia="仿宋"/>
          <w:color w:val="000000" w:themeColor="text1"/>
          <w:sz w:val="28"/>
          <w:szCs w:val="28"/>
        </w:rPr>
      </w:pPr>
      <w:r>
        <w:rPr>
          <w:rFonts w:ascii="仿宋" w:hAnsi="仿宋" w:eastAsia="仿宋"/>
          <w:color w:val="000000" w:themeColor="text1"/>
          <w:sz w:val="28"/>
          <w:szCs w:val="28"/>
        </w:rPr>
        <w:pict>
          <v:shape id="AutoShape 4" o:spid="_x0000_s1027" o:spt="32" type="#_x0000_t32" style="position:absolute;left:0pt;flip:x;margin-left:297pt;margin-top:8.5pt;height:22.5pt;width:24.75pt;z-index:25166540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">
            <v:path arrowok="t"/>
            <v:fill on="f" focussize="0,0"/>
            <v:stroke endarrow="block"/>
            <v:imagedata o:title=""/>
            <o:lock v:ext="edit"/>
          </v:shape>
        </w:pict>
      </w:r>
    </w:p>
    <w:p w14:paraId="07E82164">
      <w:pPr>
        <w:spacing w:line="520" w:lineRule="exact"/>
        <w:ind w:firstLine="560" w:firstLineChars="200"/>
        <w:rPr>
          <w:rFonts w:ascii="仿宋" w:hAnsi="仿宋" w:eastAsia="仿宋"/>
          <w:color w:val="000000" w:themeColor="text1"/>
          <w:sz w:val="28"/>
          <w:szCs w:val="28"/>
        </w:rPr>
      </w:pPr>
    </w:p>
    <w:p w14:paraId="61DD287D">
      <w:pPr>
        <w:spacing w:line="520" w:lineRule="exact"/>
        <w:ind w:firstLine="560" w:firstLineChars="200"/>
        <w:rPr>
          <w:rFonts w:ascii="仿宋" w:hAnsi="仿宋" w:eastAsia="仿宋"/>
          <w:color w:val="000000" w:themeColor="text1"/>
          <w:sz w:val="28"/>
          <w:szCs w:val="28"/>
        </w:rPr>
      </w:pPr>
    </w:p>
    <w:p w14:paraId="669A22B9">
      <w:pPr>
        <w:spacing w:line="520" w:lineRule="exact"/>
        <w:ind w:firstLine="560" w:firstLineChars="200"/>
        <w:rPr>
          <w:rFonts w:ascii="仿宋" w:hAnsi="仿宋" w:eastAsia="仿宋"/>
          <w:color w:val="000000" w:themeColor="text1"/>
          <w:sz w:val="28"/>
          <w:szCs w:val="28"/>
        </w:rPr>
      </w:pPr>
    </w:p>
    <w:p w14:paraId="1AB7BE39">
      <w:pPr>
        <w:spacing w:line="520" w:lineRule="exact"/>
        <w:ind w:firstLine="560" w:firstLineChars="200"/>
        <w:rPr>
          <w:rFonts w:ascii="仿宋" w:hAnsi="仿宋" w:eastAsia="仿宋"/>
          <w:color w:val="000000" w:themeColor="text1"/>
          <w:sz w:val="28"/>
          <w:szCs w:val="28"/>
        </w:rPr>
      </w:pPr>
    </w:p>
    <w:p w14:paraId="445B676A">
      <w:pPr>
        <w:spacing w:line="520" w:lineRule="exact"/>
        <w:ind w:firstLine="3360" w:firstLineChars="1200"/>
        <w:rPr>
          <w:rFonts w:ascii="仿宋" w:hAnsi="仿宋" w:eastAsia="仿宋"/>
          <w:color w:val="000000" w:themeColor="text1"/>
          <w:sz w:val="28"/>
          <w:szCs w:val="28"/>
        </w:rPr>
      </w:pPr>
      <w:bookmarkStart w:id="1" w:name="_Hlk86161126"/>
      <w:r>
        <w:rPr>
          <w:rFonts w:hint="eastAsia" w:ascii="仿宋" w:hAnsi="仿宋" w:eastAsia="仿宋"/>
          <w:color w:val="000000" w:themeColor="text1"/>
          <w:sz w:val="28"/>
          <w:szCs w:val="28"/>
        </w:rPr>
        <w:t>1-芯丝 2-绕丝</w:t>
      </w:r>
      <w:r>
        <w:rPr>
          <w:rFonts w:ascii="仿宋" w:hAnsi="仿宋" w:eastAsia="仿宋"/>
          <w:color w:val="000000" w:themeColor="text1"/>
          <w:sz w:val="28"/>
          <w:szCs w:val="28"/>
        </w:rPr>
        <w:t>4-</w:t>
      </w:r>
      <w:r>
        <w:rPr>
          <w:rFonts w:hint="eastAsia" w:ascii="仿宋" w:hAnsi="仿宋" w:eastAsia="仿宋"/>
          <w:color w:val="000000" w:themeColor="text1"/>
          <w:sz w:val="28"/>
          <w:szCs w:val="28"/>
        </w:rPr>
        <w:t>涂层</w:t>
      </w:r>
    </w:p>
    <w:p w14:paraId="60AFA228">
      <w:pPr>
        <w:spacing w:line="520" w:lineRule="exact"/>
        <w:jc w:val="center"/>
        <w:rPr>
          <w:rFonts w:ascii="仿宋" w:hAnsi="仿宋" w:eastAsia="仿宋"/>
          <w:color w:val="000000" w:themeColor="text1"/>
          <w:sz w:val="28"/>
          <w:szCs w:val="28"/>
        </w:rPr>
      </w:pPr>
      <w:r>
        <w:rPr>
          <w:rFonts w:hint="eastAsia" w:ascii="黑体" w:hAnsi="黑体" w:eastAsia="黑体" w:cs="黑体"/>
          <w:color w:val="000000" w:themeColor="text1"/>
          <w:sz w:val="28"/>
          <w:szCs w:val="28"/>
        </w:rPr>
        <w:t>导丝结构示例图4</w:t>
      </w:r>
    </w:p>
    <w:bookmarkEnd w:id="1"/>
    <w:p w14:paraId="09BF434F">
      <w:pPr>
        <w:spacing w:line="520" w:lineRule="exact"/>
        <w:rPr>
          <w:rFonts w:ascii="仿宋" w:hAnsi="仿宋" w:eastAsia="仿宋"/>
          <w:color w:val="000000" w:themeColor="text1"/>
          <w:sz w:val="28"/>
          <w:szCs w:val="28"/>
        </w:rPr>
      </w:pPr>
      <w:r>
        <w:rPr>
          <w:rFonts w:hint="eastAsia" w:ascii="仿宋" w:hAnsi="仿宋" w:eastAsia="仿宋"/>
          <w:color w:val="000000" w:themeColor="text1"/>
          <w:sz w:val="28"/>
          <w:szCs w:val="28"/>
        </w:rPr>
        <w:drawing>
          <wp:anchor distT="0" distB="0" distL="114300" distR="114300" simplePos="0" relativeHeight="251660288" behindDoc="0" locked="0" layoutInCell="1" allowOverlap="1">
            <wp:simplePos x="0" y="0"/>
            <wp:positionH relativeFrom="column">
              <wp:posOffset>518160</wp:posOffset>
            </wp:positionH>
            <wp:positionV relativeFrom="paragraph">
              <wp:posOffset>176530</wp:posOffset>
            </wp:positionV>
            <wp:extent cx="4519930" cy="1022985"/>
            <wp:effectExtent l="0" t="0" r="0" b="0"/>
            <wp:wrapSquare wrapText="bothSides"/>
            <wp:docPr id="12" name="图片 12" descr="微信图片_2020102215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010221500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519930" cy="1022985"/>
                    </a:xfrm>
                    <a:prstGeom prst="rect">
                      <a:avLst/>
                    </a:prstGeom>
                    <a:noFill/>
                    <a:ln>
                      <a:noFill/>
                    </a:ln>
                  </pic:spPr>
                </pic:pic>
              </a:graphicData>
            </a:graphic>
          </wp:anchor>
        </w:drawing>
      </w:r>
    </w:p>
    <w:p w14:paraId="66A6B205">
      <w:pPr>
        <w:spacing w:line="520" w:lineRule="exact"/>
        <w:rPr>
          <w:rFonts w:ascii="仿宋" w:hAnsi="仿宋" w:eastAsia="仿宋"/>
          <w:color w:val="000000" w:themeColor="text1"/>
          <w:sz w:val="28"/>
          <w:szCs w:val="28"/>
        </w:rPr>
      </w:pPr>
    </w:p>
    <w:p w14:paraId="6E5F163A">
      <w:pPr>
        <w:spacing w:line="520" w:lineRule="exact"/>
        <w:rPr>
          <w:rFonts w:ascii="仿宋" w:hAnsi="仿宋" w:eastAsia="仿宋"/>
          <w:color w:val="000000" w:themeColor="text1"/>
          <w:sz w:val="28"/>
          <w:szCs w:val="28"/>
        </w:rPr>
      </w:pPr>
    </w:p>
    <w:p w14:paraId="71D0CC44">
      <w:pPr>
        <w:spacing w:line="520" w:lineRule="exact"/>
        <w:rPr>
          <w:rFonts w:ascii="仿宋" w:hAnsi="仿宋" w:eastAsia="仿宋"/>
          <w:b/>
          <w:bCs/>
          <w:color w:val="000000" w:themeColor="text1"/>
          <w:sz w:val="28"/>
          <w:szCs w:val="28"/>
        </w:rPr>
      </w:pPr>
    </w:p>
    <w:p w14:paraId="05FC8BC0">
      <w:pPr>
        <w:pStyle w:val="18"/>
        <w:numPr>
          <w:ilvl w:val="0"/>
          <w:numId w:val="3"/>
        </w:numPr>
        <w:spacing w:line="520" w:lineRule="exact"/>
        <w:ind w:firstLineChars="0"/>
        <w:jc w:val="center"/>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芯丝  2-绕丝 </w:t>
      </w:r>
      <w:bookmarkStart w:id="2" w:name="_Hlk86161153"/>
      <w:r>
        <w:rPr>
          <w:rFonts w:hint="eastAsia" w:ascii="仿宋" w:hAnsi="仿宋" w:eastAsia="仿宋"/>
          <w:color w:val="000000" w:themeColor="text1"/>
          <w:sz w:val="28"/>
          <w:szCs w:val="28"/>
        </w:rPr>
        <w:t>3-聚合物护套</w:t>
      </w:r>
      <w:bookmarkEnd w:id="2"/>
    </w:p>
    <w:p w14:paraId="4CC75D11">
      <w:pPr>
        <w:spacing w:line="520" w:lineRule="exact"/>
        <w:jc w:val="center"/>
        <w:rPr>
          <w:rFonts w:ascii="黑体" w:hAnsi="黑体" w:eastAsia="黑体" w:cs="黑体"/>
          <w:color w:val="000000" w:themeColor="text1"/>
          <w:sz w:val="28"/>
          <w:szCs w:val="28"/>
        </w:rPr>
      </w:pPr>
      <w:r>
        <w:rPr>
          <w:rFonts w:ascii="仿宋" w:hAnsi="仿宋" w:eastAsia="仿宋"/>
          <w:color w:val="000000" w:themeColor="text1"/>
          <w:sz w:val="28"/>
          <w:szCs w:val="28"/>
        </w:rPr>
        <w:drawing>
          <wp:anchor distT="45720" distB="45720" distL="114300" distR="114300" simplePos="0" relativeHeight="251664384" behindDoc="0" locked="0" layoutInCell="1" allowOverlap="1">
            <wp:simplePos x="0" y="0"/>
            <wp:positionH relativeFrom="column">
              <wp:posOffset>125095</wp:posOffset>
            </wp:positionH>
            <wp:positionV relativeFrom="paragraph">
              <wp:posOffset>617855</wp:posOffset>
            </wp:positionV>
            <wp:extent cx="5309870" cy="1172845"/>
            <wp:effectExtent l="0" t="0" r="0" b="0"/>
            <wp:wrapTopAndBottom/>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309870" cy="1172845"/>
                    </a:xfrm>
                    <a:prstGeom prst="rect">
                      <a:avLst/>
                    </a:prstGeom>
                    <a:noFill/>
                    <a:ln>
                      <a:noFill/>
                    </a:ln>
                  </pic:spPr>
                </pic:pic>
              </a:graphicData>
            </a:graphic>
          </wp:anchor>
        </w:drawing>
      </w:r>
      <w:r>
        <w:rPr>
          <w:rFonts w:hint="eastAsia" w:ascii="黑体" w:hAnsi="黑体" w:eastAsia="黑体" w:cs="黑体"/>
          <w:color w:val="000000" w:themeColor="text1"/>
          <w:sz w:val="28"/>
          <w:szCs w:val="28"/>
        </w:rPr>
        <w:t>导丝结构示例图</w:t>
      </w:r>
      <w:r>
        <w:rPr>
          <w:rFonts w:ascii="黑体" w:hAnsi="黑体" w:eastAsia="黑体" w:cs="黑体"/>
          <w:color w:val="000000" w:themeColor="text1"/>
          <w:sz w:val="28"/>
          <w:szCs w:val="28"/>
        </w:rPr>
        <w:t>5</w:t>
      </w:r>
    </w:p>
    <w:p w14:paraId="4BE6BE63">
      <w:pPr>
        <w:spacing w:line="520" w:lineRule="exact"/>
        <w:ind w:firstLine="2408" w:firstLineChars="860"/>
        <w:rPr>
          <w:rFonts w:ascii="仿宋" w:hAnsi="仿宋" w:eastAsia="仿宋"/>
          <w:color w:val="000000" w:themeColor="text1"/>
          <w:sz w:val="28"/>
          <w:szCs w:val="28"/>
        </w:rPr>
      </w:pPr>
      <w:bookmarkStart w:id="3" w:name="_Hlk86164524"/>
      <w:r>
        <w:rPr>
          <w:rFonts w:hint="eastAsia" w:ascii="仿宋" w:hAnsi="仿宋" w:eastAsia="仿宋"/>
          <w:color w:val="000000" w:themeColor="text1"/>
          <w:sz w:val="28"/>
          <w:szCs w:val="28"/>
        </w:rPr>
        <w:t xml:space="preserve">1-芯丝 3-聚合物护套 </w:t>
      </w:r>
      <w:r>
        <w:rPr>
          <w:rFonts w:ascii="仿宋" w:hAnsi="仿宋" w:eastAsia="仿宋"/>
          <w:color w:val="000000" w:themeColor="text1"/>
          <w:sz w:val="28"/>
          <w:szCs w:val="28"/>
        </w:rPr>
        <w:t>5-</w:t>
      </w:r>
      <w:r>
        <w:rPr>
          <w:rFonts w:hint="eastAsia" w:ascii="仿宋" w:hAnsi="仿宋" w:eastAsia="仿宋"/>
          <w:color w:val="000000" w:themeColor="text1"/>
          <w:sz w:val="28"/>
          <w:szCs w:val="28"/>
        </w:rPr>
        <w:t>球形头端</w:t>
      </w:r>
    </w:p>
    <w:p w14:paraId="000C55A7">
      <w:pPr>
        <w:spacing w:line="520" w:lineRule="exact"/>
        <w:jc w:val="center"/>
        <w:rPr>
          <w:rFonts w:ascii="仿宋" w:hAnsi="仿宋" w:eastAsia="仿宋"/>
          <w:color w:val="000000" w:themeColor="text1"/>
          <w:sz w:val="28"/>
          <w:szCs w:val="28"/>
        </w:rPr>
      </w:pPr>
      <w:r>
        <w:rPr>
          <w:rFonts w:hint="eastAsia" w:ascii="黑体" w:hAnsi="黑体" w:eastAsia="黑体" w:cs="黑体"/>
          <w:color w:val="000000" w:themeColor="text1"/>
          <w:sz w:val="28"/>
          <w:szCs w:val="28"/>
        </w:rPr>
        <w:t>导丝结构示例图</w:t>
      </w:r>
      <w:r>
        <w:rPr>
          <w:rFonts w:ascii="黑体" w:hAnsi="黑体" w:eastAsia="黑体" w:cs="黑体"/>
          <w:color w:val="000000" w:themeColor="text1"/>
          <w:sz w:val="28"/>
          <w:szCs w:val="28"/>
        </w:rPr>
        <w:t>6</w:t>
      </w:r>
    </w:p>
    <w:bookmarkEnd w:id="3"/>
    <w:p w14:paraId="1F4E32AC">
      <w:pPr>
        <w:spacing w:line="520" w:lineRule="exact"/>
        <w:jc w:val="center"/>
        <w:rPr>
          <w:rFonts w:ascii="仿宋" w:hAnsi="仿宋" w:eastAsia="仿宋"/>
          <w:color w:val="000000" w:themeColor="text1"/>
          <w:sz w:val="28"/>
          <w:szCs w:val="28"/>
        </w:rPr>
      </w:pPr>
    </w:p>
    <w:p w14:paraId="43FB645C">
      <w:pPr>
        <w:spacing w:line="520" w:lineRule="exact"/>
        <w:jc w:val="center"/>
        <w:rPr>
          <w:rFonts w:ascii="仿宋" w:hAnsi="仿宋" w:eastAsia="仿宋"/>
          <w:color w:val="000000" w:themeColor="text1"/>
          <w:sz w:val="28"/>
          <w:szCs w:val="28"/>
        </w:rPr>
      </w:pPr>
      <w:r>
        <w:rPr>
          <w:rFonts w:ascii="仿宋" w:hAnsi="仿宋" w:eastAsia="仿宋"/>
          <w:color w:val="000000" w:themeColor="text1"/>
          <w:sz w:val="28"/>
          <w:szCs w:val="28"/>
        </w:rPr>
        <w:drawing>
          <wp:anchor distT="45720" distB="45720" distL="114300" distR="114300" simplePos="0" relativeHeight="251665408" behindDoc="0" locked="0" layoutInCell="1" allowOverlap="1">
            <wp:simplePos x="0" y="0"/>
            <wp:positionH relativeFrom="column">
              <wp:posOffset>3175</wp:posOffset>
            </wp:positionH>
            <wp:positionV relativeFrom="paragraph">
              <wp:posOffset>219075</wp:posOffset>
            </wp:positionV>
            <wp:extent cx="5273675" cy="1023620"/>
            <wp:effectExtent l="0" t="0" r="0" b="0"/>
            <wp:wrapTopAndBottom/>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3675" cy="1023620"/>
                    </a:xfrm>
                    <a:prstGeom prst="rect">
                      <a:avLst/>
                    </a:prstGeom>
                    <a:noFill/>
                    <a:ln>
                      <a:noFill/>
                    </a:ln>
                  </pic:spPr>
                </pic:pic>
              </a:graphicData>
            </a:graphic>
          </wp:anchor>
        </w:drawing>
      </w:r>
      <w:r>
        <w:rPr>
          <w:rFonts w:hint="eastAsia" w:ascii="仿宋" w:hAnsi="仿宋" w:eastAsia="仿宋"/>
          <w:color w:val="000000" w:themeColor="text1"/>
          <w:sz w:val="28"/>
          <w:szCs w:val="28"/>
        </w:rPr>
        <w:t xml:space="preserve">1-芯丝 3-聚合物护套 </w:t>
      </w:r>
      <w:r>
        <w:rPr>
          <w:rFonts w:ascii="仿宋" w:hAnsi="仿宋" w:eastAsia="仿宋"/>
          <w:color w:val="000000" w:themeColor="text1"/>
          <w:sz w:val="28"/>
          <w:szCs w:val="28"/>
        </w:rPr>
        <w:t>6-</w:t>
      </w:r>
      <w:r>
        <w:rPr>
          <w:rFonts w:hint="eastAsia" w:ascii="仿宋" w:hAnsi="仿宋" w:eastAsia="仿宋"/>
          <w:color w:val="000000" w:themeColor="text1"/>
          <w:sz w:val="28"/>
          <w:szCs w:val="28"/>
        </w:rPr>
        <w:t>头端弯曲</w:t>
      </w:r>
    </w:p>
    <w:p w14:paraId="039A8F72">
      <w:pPr>
        <w:spacing w:line="520" w:lineRule="exact"/>
        <w:jc w:val="center"/>
        <w:rPr>
          <w:rFonts w:ascii="黑体" w:hAnsi="黑体" w:eastAsia="黑体" w:cs="黑体"/>
          <w:color w:val="000000" w:themeColor="text1"/>
          <w:sz w:val="28"/>
          <w:szCs w:val="28"/>
        </w:rPr>
      </w:pPr>
      <w:r>
        <w:rPr>
          <w:rFonts w:ascii="仿宋" w:hAnsi="仿宋" w:eastAsia="仿宋"/>
          <w:color w:val="000000" w:themeColor="text1"/>
          <w:sz w:val="28"/>
          <w:szCs w:val="28"/>
        </w:rPr>
        <w:drawing>
          <wp:anchor distT="0" distB="0" distL="114300" distR="114300" simplePos="0" relativeHeight="251668480" behindDoc="0" locked="0" layoutInCell="1" allowOverlap="1">
            <wp:simplePos x="0" y="0"/>
            <wp:positionH relativeFrom="column">
              <wp:posOffset>-139700</wp:posOffset>
            </wp:positionH>
            <wp:positionV relativeFrom="paragraph">
              <wp:posOffset>386080</wp:posOffset>
            </wp:positionV>
            <wp:extent cx="5534660" cy="1581150"/>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534660" cy="1581150"/>
                    </a:xfrm>
                    <a:prstGeom prst="rect">
                      <a:avLst/>
                    </a:prstGeom>
                    <a:noFill/>
                    <a:ln>
                      <a:noFill/>
                    </a:ln>
                  </pic:spPr>
                </pic:pic>
              </a:graphicData>
            </a:graphic>
          </wp:anchor>
        </w:drawing>
      </w:r>
      <w:r>
        <w:rPr>
          <w:color w:val="000000" w:themeColor="text1"/>
        </w:rPr>
        <w:drawing>
          <wp:anchor distT="0" distB="0" distL="114300" distR="114300" simplePos="0" relativeHeight="251667456" behindDoc="0" locked="0" layoutInCell="1" allowOverlap="1">
            <wp:simplePos x="0" y="0"/>
            <wp:positionH relativeFrom="column">
              <wp:posOffset>417195</wp:posOffset>
            </wp:positionH>
            <wp:positionV relativeFrom="paragraph">
              <wp:posOffset>386080</wp:posOffset>
            </wp:positionV>
            <wp:extent cx="4181475" cy="1362075"/>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181475" cy="1362075"/>
                    </a:xfrm>
                    <a:prstGeom prst="rect">
                      <a:avLst/>
                    </a:prstGeom>
                  </pic:spPr>
                </pic:pic>
              </a:graphicData>
            </a:graphic>
          </wp:anchor>
        </w:drawing>
      </w:r>
      <w:r>
        <w:rPr>
          <w:rFonts w:hint="eastAsia" w:ascii="黑体" w:hAnsi="黑体" w:eastAsia="黑体" w:cs="黑体"/>
          <w:color w:val="000000" w:themeColor="text1"/>
          <w:sz w:val="28"/>
          <w:szCs w:val="28"/>
        </w:rPr>
        <w:t>导丝结构示例图</w:t>
      </w:r>
      <w:r>
        <w:rPr>
          <w:rFonts w:ascii="黑体" w:hAnsi="黑体" w:eastAsia="黑体" w:cs="黑体"/>
          <w:color w:val="000000" w:themeColor="text1"/>
          <w:sz w:val="28"/>
          <w:szCs w:val="28"/>
        </w:rPr>
        <w:t>7</w:t>
      </w:r>
    </w:p>
    <w:p w14:paraId="422F4FB8">
      <w:pPr>
        <w:spacing w:line="520" w:lineRule="exact"/>
        <w:ind w:firstLine="2408" w:firstLineChars="860"/>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1-芯丝 </w:t>
      </w:r>
      <w:r>
        <w:rPr>
          <w:rFonts w:ascii="仿宋" w:hAnsi="仿宋" w:eastAsia="仿宋"/>
          <w:color w:val="000000" w:themeColor="text1"/>
          <w:sz w:val="28"/>
          <w:szCs w:val="28"/>
        </w:rPr>
        <w:t>2</w:t>
      </w:r>
      <w:r>
        <w:rPr>
          <w:rFonts w:hint="eastAsia" w:ascii="仿宋" w:hAnsi="仿宋" w:eastAsia="仿宋"/>
          <w:color w:val="000000" w:themeColor="text1"/>
          <w:sz w:val="28"/>
          <w:szCs w:val="28"/>
        </w:rPr>
        <w:t xml:space="preserve">-绕丝 </w:t>
      </w:r>
      <w:r>
        <w:rPr>
          <w:rFonts w:ascii="仿宋" w:hAnsi="仿宋" w:eastAsia="仿宋"/>
          <w:color w:val="000000" w:themeColor="text1"/>
          <w:sz w:val="28"/>
          <w:szCs w:val="28"/>
        </w:rPr>
        <w:t>4-</w:t>
      </w:r>
      <w:r>
        <w:rPr>
          <w:rFonts w:hint="eastAsia" w:ascii="仿宋" w:hAnsi="仿宋" w:eastAsia="仿宋"/>
          <w:color w:val="000000" w:themeColor="text1"/>
          <w:sz w:val="28"/>
          <w:szCs w:val="28"/>
        </w:rPr>
        <w:t xml:space="preserve">涂层 </w:t>
      </w:r>
      <w:r>
        <w:rPr>
          <w:rFonts w:ascii="仿宋" w:hAnsi="仿宋" w:eastAsia="仿宋"/>
          <w:color w:val="000000" w:themeColor="text1"/>
          <w:sz w:val="28"/>
          <w:szCs w:val="28"/>
        </w:rPr>
        <w:t>7-</w:t>
      </w:r>
      <w:r>
        <w:rPr>
          <w:rFonts w:hint="eastAsia" w:ascii="仿宋" w:hAnsi="仿宋" w:eastAsia="仿宋"/>
          <w:color w:val="000000" w:themeColor="text1"/>
          <w:sz w:val="28"/>
          <w:szCs w:val="28"/>
        </w:rPr>
        <w:t>安全丝</w:t>
      </w:r>
    </w:p>
    <w:p w14:paraId="6193B6C5">
      <w:pPr>
        <w:spacing w:line="520" w:lineRule="exact"/>
        <w:jc w:val="center"/>
        <w:rPr>
          <w:rFonts w:ascii="黑体" w:hAnsi="黑体" w:eastAsia="黑体" w:cs="黑体"/>
          <w:color w:val="000000" w:themeColor="text1"/>
          <w:sz w:val="28"/>
          <w:szCs w:val="28"/>
        </w:rPr>
      </w:pPr>
      <w:r>
        <w:rPr>
          <w:rFonts w:hint="eastAsia" w:ascii="黑体" w:hAnsi="黑体" w:eastAsia="黑体" w:cs="黑体"/>
          <w:color w:val="000000" w:themeColor="text1"/>
          <w:sz w:val="28"/>
          <w:szCs w:val="28"/>
        </w:rPr>
        <w:t>导丝结构示例图8</w:t>
      </w:r>
      <w:r>
        <w:rPr>
          <w:rFonts w:ascii="黑体" w:hAnsi="黑体" w:eastAsia="黑体" w:cs="黑体"/>
          <w:color w:val="000000" w:themeColor="text1"/>
          <w:sz w:val="28"/>
          <w:szCs w:val="28"/>
        </w:rPr>
        <w:t>-</w:t>
      </w:r>
      <w:r>
        <w:rPr>
          <w:rFonts w:hint="eastAsia" w:ascii="黑体" w:hAnsi="黑体" w:eastAsia="黑体" w:cs="黑体"/>
          <w:color w:val="000000" w:themeColor="text1"/>
          <w:sz w:val="28"/>
          <w:szCs w:val="28"/>
        </w:rPr>
        <w:t>带安全丝的导丝</w:t>
      </w:r>
    </w:p>
    <w:p w14:paraId="3E85650D">
      <w:pPr>
        <w:spacing w:line="480" w:lineRule="auto"/>
        <w:rPr>
          <w:rFonts w:ascii="楷体_GB2312" w:hAnsi="楷体" w:eastAsia="楷体_GB2312"/>
          <w:color w:val="000000" w:themeColor="text1"/>
          <w:sz w:val="32"/>
          <w:szCs w:val="32"/>
        </w:rPr>
      </w:pPr>
      <w:r>
        <w:rPr>
          <w:rFonts w:hint="eastAsia" w:ascii="楷体_GB2312" w:hAnsi="楷体" w:eastAsia="楷体_GB2312"/>
          <w:color w:val="000000" w:themeColor="text1"/>
          <w:sz w:val="32"/>
          <w:szCs w:val="32"/>
        </w:rPr>
        <w:t>（三）产品工作原理</w:t>
      </w:r>
    </w:p>
    <w:p w14:paraId="6566C2E1">
      <w:pPr>
        <w:tabs>
          <w:tab w:val="left" w:pos="8040"/>
        </w:tabs>
        <w:spacing w:line="520" w:lineRule="exact"/>
        <w:ind w:firstLine="640" w:firstLineChars="200"/>
        <w:jc w:val="lef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产品适用于非血管腔道介入诊疗的一次性使用导引器械，在泌尿外科应用（输尿管镜检查术、输尿管支架植入术、输尿管导管插入、经皮肾穿刺、耻骨上导尿管的插入或更换等）中，利用导丝的可操控性、支撑性等特点，通常借助内窥镜，用作各种腔内泌尿器械和导管（比如，输尿管肾盂镜、输尿管导管、输尿管支架管、肾造瘘导管和耻骨上导尿管等）进入人体泌尿系腔道或组织的引导器械。</w:t>
      </w:r>
    </w:p>
    <w:p w14:paraId="73B4941A">
      <w:pPr>
        <w:spacing w:line="520" w:lineRule="exact"/>
        <w:ind w:firstLine="640" w:firstLineChars="200"/>
        <w:rPr>
          <w:rFonts w:ascii="楷体_GB2312" w:hAnsi="楷体" w:eastAsia="楷体_GB2312"/>
          <w:color w:val="000000" w:themeColor="text1"/>
          <w:sz w:val="32"/>
          <w:szCs w:val="32"/>
        </w:rPr>
      </w:pPr>
      <w:r>
        <w:rPr>
          <w:rFonts w:hint="eastAsia" w:ascii="楷体_GB2312" w:hAnsi="楷体" w:eastAsia="楷体_GB2312"/>
          <w:color w:val="000000" w:themeColor="text1"/>
          <w:sz w:val="32"/>
          <w:szCs w:val="32"/>
        </w:rPr>
        <w:t>（四）注册单元划分的原则和实例</w:t>
      </w:r>
    </w:p>
    <w:p w14:paraId="66BC31A0">
      <w:pPr>
        <w:tabs>
          <w:tab w:val="left" w:pos="8040"/>
        </w:tabs>
        <w:spacing w:line="520" w:lineRule="exact"/>
        <w:ind w:firstLine="480" w:firstLineChars="150"/>
        <w:jc w:val="lef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产品注册单元划分应依据《医疗器械注册单元划分指导原则》（原国家食品药品监督管理总局通告2017年第187号）。产品使用方式、作用部位不同而导致适用范围不同时，原则上划分为不同的注册单元。</w:t>
      </w:r>
      <w:r>
        <w:rPr>
          <w:rFonts w:hint="eastAsia" w:ascii="仿宋_GB2312" w:hAnsi="仿宋" w:eastAsia="仿宋_GB2312"/>
          <w:color w:val="000000" w:themeColor="text1"/>
          <w:sz w:val="32"/>
          <w:szCs w:val="32"/>
          <w:lang w:val="en-US" w:eastAsia="zh-CN"/>
        </w:rPr>
        <w:t>使用不同主体原材料的产品应划分为不同的注册单元。</w:t>
      </w:r>
    </w:p>
    <w:p w14:paraId="70DC2757">
      <w:pPr>
        <w:tabs>
          <w:tab w:val="left" w:pos="8040"/>
        </w:tabs>
        <w:spacing w:line="520" w:lineRule="exact"/>
        <w:ind w:firstLine="720" w:firstLineChars="225"/>
        <w:jc w:val="left"/>
        <w:rPr>
          <w:rFonts w:ascii="楷体_GB2312" w:hAnsi="楷体" w:eastAsia="楷体_GB2312"/>
          <w:color w:val="000000" w:themeColor="text1"/>
          <w:sz w:val="32"/>
          <w:szCs w:val="32"/>
        </w:rPr>
      </w:pPr>
      <w:r>
        <w:rPr>
          <w:rFonts w:hint="eastAsia" w:ascii="楷体_GB2312" w:hAnsi="楷体" w:eastAsia="楷体_GB2312"/>
          <w:color w:val="000000" w:themeColor="text1"/>
          <w:sz w:val="32"/>
          <w:szCs w:val="32"/>
        </w:rPr>
        <w:t>（五）产品适用的相关标准</w:t>
      </w:r>
    </w:p>
    <w:p w14:paraId="7DF2528A">
      <w:pPr>
        <w:spacing w:line="520" w:lineRule="exact"/>
        <w:jc w:val="center"/>
        <w:rPr>
          <w:rFonts w:ascii="仿宋_GB2312" w:hAnsi="仿宋" w:eastAsia="仿宋_GB2312"/>
          <w:bCs/>
          <w:color w:val="000000" w:themeColor="text1"/>
          <w:sz w:val="32"/>
          <w:szCs w:val="32"/>
        </w:rPr>
      </w:pPr>
      <w:r>
        <w:rPr>
          <w:rFonts w:hint="eastAsia" w:ascii="仿宋_GB2312" w:hAnsi="仿宋" w:eastAsia="仿宋_GB2312"/>
          <w:bCs/>
          <w:color w:val="000000" w:themeColor="text1"/>
          <w:sz w:val="32"/>
          <w:szCs w:val="32"/>
        </w:rPr>
        <w:t>表2  相关标准</w:t>
      </w:r>
    </w:p>
    <w:tbl>
      <w:tblPr>
        <w:tblStyle w:val="13"/>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7"/>
        <w:gridCol w:w="6432"/>
      </w:tblGrid>
      <w:tr w14:paraId="138BA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807" w:type="dxa"/>
            <w:vAlign w:val="center"/>
          </w:tcPr>
          <w:p w14:paraId="30AA9AAC">
            <w:pPr>
              <w:pStyle w:val="18"/>
              <w:spacing w:line="440" w:lineRule="exact"/>
              <w:ind w:firstLine="0" w:firstLineChars="0"/>
              <w:rPr>
                <w:rFonts w:ascii="仿宋" w:hAnsi="仿宋" w:eastAsia="仿宋"/>
                <w:color w:val="000000" w:themeColor="text1"/>
                <w:sz w:val="28"/>
                <w:szCs w:val="28"/>
              </w:rPr>
            </w:pPr>
            <w:r>
              <w:rPr>
                <w:rFonts w:ascii="仿宋" w:hAnsi="仿宋" w:eastAsia="仿宋"/>
                <w:color w:val="000000" w:themeColor="text1"/>
                <w:sz w:val="28"/>
                <w:szCs w:val="28"/>
              </w:rPr>
              <w:t>GB 18279.1-2015</w:t>
            </w:r>
          </w:p>
        </w:tc>
        <w:tc>
          <w:tcPr>
            <w:tcW w:w="6432" w:type="dxa"/>
            <w:vAlign w:val="center"/>
          </w:tcPr>
          <w:p w14:paraId="10CC39E2">
            <w:pPr>
              <w:pStyle w:val="18"/>
              <w:spacing w:line="440" w:lineRule="exact"/>
              <w:ind w:firstLine="0" w:firstLineChars="0"/>
              <w:rPr>
                <w:rFonts w:ascii="仿宋" w:hAnsi="仿宋" w:eastAsia="仿宋"/>
                <w:color w:val="000000" w:themeColor="text1"/>
                <w:sz w:val="28"/>
                <w:szCs w:val="28"/>
              </w:rPr>
            </w:pPr>
            <w:r>
              <w:rPr>
                <w:rFonts w:hint="eastAsia" w:ascii="仿宋" w:hAnsi="仿宋" w:eastAsia="仿宋"/>
                <w:color w:val="000000" w:themeColor="text1"/>
                <w:sz w:val="28"/>
                <w:szCs w:val="28"/>
              </w:rPr>
              <w:t>医疗保健产品灭菌 环氧乙烷 第</w:t>
            </w:r>
            <w:r>
              <w:rPr>
                <w:rFonts w:ascii="仿宋" w:hAnsi="仿宋" w:eastAsia="仿宋"/>
                <w:color w:val="000000" w:themeColor="text1"/>
                <w:sz w:val="28"/>
                <w:szCs w:val="28"/>
              </w:rPr>
              <w:t>1</w:t>
            </w:r>
            <w:r>
              <w:rPr>
                <w:rFonts w:hint="eastAsia" w:ascii="仿宋" w:hAnsi="仿宋" w:eastAsia="仿宋"/>
                <w:color w:val="000000" w:themeColor="text1"/>
                <w:sz w:val="28"/>
                <w:szCs w:val="28"/>
              </w:rPr>
              <w:t>部分：医疗器械灭菌过程的开发、确认和常规控制的要求</w:t>
            </w:r>
          </w:p>
        </w:tc>
      </w:tr>
      <w:tr w14:paraId="26FB8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807" w:type="dxa"/>
            <w:vAlign w:val="center"/>
          </w:tcPr>
          <w:p w14:paraId="4D19FDAC">
            <w:pPr>
              <w:pStyle w:val="18"/>
              <w:spacing w:line="440" w:lineRule="exact"/>
              <w:ind w:firstLine="0" w:firstLineChars="0"/>
              <w:rPr>
                <w:rFonts w:ascii="仿宋" w:hAnsi="仿宋" w:eastAsia="仿宋"/>
                <w:color w:val="000000" w:themeColor="text1"/>
                <w:sz w:val="28"/>
                <w:szCs w:val="28"/>
              </w:rPr>
            </w:pPr>
            <w:r>
              <w:rPr>
                <w:rFonts w:hint="eastAsia" w:ascii="仿宋" w:hAnsi="仿宋" w:eastAsia="仿宋"/>
                <w:color w:val="000000" w:themeColor="text1"/>
                <w:sz w:val="28"/>
                <w:szCs w:val="28"/>
              </w:rPr>
              <w:t>GB/T 1.1-2020</w:t>
            </w:r>
          </w:p>
        </w:tc>
        <w:tc>
          <w:tcPr>
            <w:tcW w:w="6432" w:type="dxa"/>
            <w:vAlign w:val="center"/>
          </w:tcPr>
          <w:p w14:paraId="650B6B14">
            <w:pPr>
              <w:pStyle w:val="18"/>
              <w:spacing w:line="440" w:lineRule="exact"/>
              <w:ind w:firstLine="0" w:firstLineChars="0"/>
              <w:rPr>
                <w:rFonts w:ascii="仿宋" w:hAnsi="仿宋" w:eastAsia="仿宋"/>
                <w:color w:val="000000" w:themeColor="text1"/>
                <w:sz w:val="28"/>
                <w:szCs w:val="28"/>
              </w:rPr>
            </w:pPr>
            <w:r>
              <w:rPr>
                <w:rFonts w:hint="eastAsia" w:ascii="仿宋" w:hAnsi="仿宋" w:eastAsia="仿宋"/>
                <w:color w:val="000000" w:themeColor="text1"/>
                <w:sz w:val="28"/>
                <w:szCs w:val="28"/>
              </w:rPr>
              <w:t>标准化工作导则 第1部分：标准的结构和起草规则</w:t>
            </w:r>
          </w:p>
        </w:tc>
      </w:tr>
      <w:tr w14:paraId="140FD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807" w:type="dxa"/>
            <w:vAlign w:val="center"/>
          </w:tcPr>
          <w:p w14:paraId="0CD72DF8">
            <w:pPr>
              <w:pStyle w:val="18"/>
              <w:spacing w:line="440" w:lineRule="exact"/>
              <w:ind w:firstLine="0" w:firstLineChars="0"/>
              <w:rPr>
                <w:rFonts w:ascii="仿宋" w:hAnsi="仿宋" w:eastAsia="仿宋"/>
                <w:color w:val="000000" w:themeColor="text1"/>
                <w:sz w:val="28"/>
                <w:szCs w:val="28"/>
              </w:rPr>
            </w:pPr>
            <w:r>
              <w:rPr>
                <w:rFonts w:hint="eastAsia" w:ascii="仿宋" w:hAnsi="仿宋" w:eastAsia="仿宋"/>
                <w:color w:val="000000" w:themeColor="text1"/>
                <w:sz w:val="28"/>
                <w:szCs w:val="28"/>
              </w:rPr>
              <w:t>GB/T 191-2008</w:t>
            </w:r>
          </w:p>
        </w:tc>
        <w:tc>
          <w:tcPr>
            <w:tcW w:w="6432" w:type="dxa"/>
            <w:vAlign w:val="center"/>
          </w:tcPr>
          <w:p w14:paraId="13C0FC2B">
            <w:pPr>
              <w:pStyle w:val="18"/>
              <w:spacing w:line="440" w:lineRule="exact"/>
              <w:ind w:firstLine="0" w:firstLineChars="0"/>
              <w:rPr>
                <w:rFonts w:ascii="仿宋" w:hAnsi="仿宋" w:eastAsia="仿宋"/>
                <w:color w:val="000000" w:themeColor="text1"/>
                <w:sz w:val="28"/>
                <w:szCs w:val="28"/>
              </w:rPr>
            </w:pPr>
            <w:r>
              <w:rPr>
                <w:rFonts w:hint="eastAsia" w:ascii="仿宋" w:hAnsi="仿宋" w:eastAsia="仿宋"/>
                <w:color w:val="000000" w:themeColor="text1"/>
                <w:sz w:val="28"/>
                <w:szCs w:val="28"/>
              </w:rPr>
              <w:t>包装贮运图示标志</w:t>
            </w:r>
          </w:p>
        </w:tc>
      </w:tr>
      <w:tr w14:paraId="31A7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vAlign w:val="center"/>
          </w:tcPr>
          <w:p w14:paraId="12A5F185">
            <w:pPr>
              <w:pStyle w:val="18"/>
              <w:spacing w:line="440" w:lineRule="exact"/>
              <w:ind w:firstLine="0" w:firstLineChars="0"/>
              <w:rPr>
                <w:rFonts w:ascii="仿宋" w:hAnsi="仿宋" w:eastAsia="仿宋"/>
                <w:color w:val="000000" w:themeColor="text1"/>
                <w:sz w:val="28"/>
                <w:szCs w:val="28"/>
              </w:rPr>
            </w:pPr>
            <w:r>
              <w:rPr>
                <w:rFonts w:hint="eastAsia" w:ascii="仿宋" w:hAnsi="仿宋" w:eastAsia="仿宋"/>
                <w:color w:val="000000" w:themeColor="text1"/>
                <w:sz w:val="28"/>
                <w:szCs w:val="28"/>
              </w:rPr>
              <w:t>GB/T 14233.1-2008</w:t>
            </w:r>
          </w:p>
        </w:tc>
        <w:tc>
          <w:tcPr>
            <w:tcW w:w="6432" w:type="dxa"/>
            <w:vAlign w:val="center"/>
          </w:tcPr>
          <w:p w14:paraId="0A28843E">
            <w:pPr>
              <w:pStyle w:val="18"/>
              <w:spacing w:line="440" w:lineRule="exact"/>
              <w:ind w:firstLine="0" w:firstLineChars="0"/>
              <w:rPr>
                <w:rFonts w:ascii="仿宋" w:hAnsi="仿宋" w:eastAsia="仿宋"/>
                <w:color w:val="000000" w:themeColor="text1"/>
                <w:sz w:val="28"/>
                <w:szCs w:val="28"/>
              </w:rPr>
            </w:pPr>
            <w:r>
              <w:rPr>
                <w:rFonts w:hint="eastAsia" w:ascii="仿宋" w:hAnsi="仿宋" w:eastAsia="仿宋"/>
                <w:color w:val="000000" w:themeColor="text1"/>
                <w:sz w:val="28"/>
                <w:szCs w:val="28"/>
              </w:rPr>
              <w:t>医用输液、输血、注射器具检验方法 第1部分：化学分析方法</w:t>
            </w:r>
          </w:p>
        </w:tc>
      </w:tr>
      <w:tr w14:paraId="1120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vAlign w:val="center"/>
          </w:tcPr>
          <w:p w14:paraId="444FE043">
            <w:pPr>
              <w:pStyle w:val="18"/>
              <w:spacing w:line="440" w:lineRule="exact"/>
              <w:ind w:firstLine="0" w:firstLineChars="0"/>
              <w:rPr>
                <w:rFonts w:ascii="仿宋" w:hAnsi="仿宋" w:eastAsia="仿宋"/>
                <w:color w:val="000000" w:themeColor="text1"/>
                <w:sz w:val="28"/>
                <w:szCs w:val="28"/>
              </w:rPr>
            </w:pPr>
            <w:r>
              <w:rPr>
                <w:rFonts w:hint="eastAsia" w:ascii="仿宋" w:hAnsi="仿宋" w:eastAsia="仿宋"/>
                <w:color w:val="000000" w:themeColor="text1"/>
                <w:sz w:val="28"/>
                <w:szCs w:val="28"/>
              </w:rPr>
              <w:t>GB/T 14233.2-2005</w:t>
            </w:r>
          </w:p>
        </w:tc>
        <w:tc>
          <w:tcPr>
            <w:tcW w:w="6432" w:type="dxa"/>
            <w:vAlign w:val="center"/>
          </w:tcPr>
          <w:p w14:paraId="321CCFE3">
            <w:pPr>
              <w:pStyle w:val="18"/>
              <w:spacing w:line="440" w:lineRule="exact"/>
              <w:ind w:firstLine="0" w:firstLineChars="0"/>
              <w:rPr>
                <w:rFonts w:ascii="仿宋" w:hAnsi="仿宋" w:eastAsia="仿宋"/>
                <w:color w:val="000000" w:themeColor="text1"/>
                <w:sz w:val="28"/>
                <w:szCs w:val="28"/>
              </w:rPr>
            </w:pPr>
            <w:r>
              <w:rPr>
                <w:rFonts w:hint="eastAsia" w:ascii="仿宋" w:hAnsi="仿宋" w:eastAsia="仿宋"/>
                <w:color w:val="000000" w:themeColor="text1"/>
                <w:sz w:val="28"/>
                <w:szCs w:val="28"/>
              </w:rPr>
              <w:t>医用输液、输血、注射器具检验方法 第2部分：生物学试验方法</w:t>
            </w:r>
          </w:p>
        </w:tc>
      </w:tr>
      <w:tr w14:paraId="21A4B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807" w:type="dxa"/>
            <w:vAlign w:val="center"/>
          </w:tcPr>
          <w:p w14:paraId="28C131AC">
            <w:pPr>
              <w:pStyle w:val="18"/>
              <w:spacing w:line="440" w:lineRule="exact"/>
              <w:ind w:firstLine="0" w:firstLineChars="0"/>
              <w:rPr>
                <w:rFonts w:ascii="仿宋" w:hAnsi="仿宋" w:eastAsia="仿宋"/>
                <w:color w:val="000000" w:themeColor="text1"/>
                <w:sz w:val="28"/>
                <w:szCs w:val="28"/>
              </w:rPr>
            </w:pPr>
            <w:r>
              <w:rPr>
                <w:rFonts w:hint="eastAsia" w:ascii="仿宋" w:hAnsi="仿宋" w:eastAsia="仿宋"/>
                <w:color w:val="000000" w:themeColor="text1"/>
                <w:sz w:val="28"/>
                <w:szCs w:val="28"/>
              </w:rPr>
              <w:t>GB/T 16886.1-2011</w:t>
            </w:r>
          </w:p>
        </w:tc>
        <w:tc>
          <w:tcPr>
            <w:tcW w:w="6432" w:type="dxa"/>
            <w:vAlign w:val="center"/>
          </w:tcPr>
          <w:p w14:paraId="674B887C">
            <w:pPr>
              <w:pStyle w:val="18"/>
              <w:spacing w:line="440" w:lineRule="exact"/>
              <w:ind w:firstLine="0" w:firstLineChars="0"/>
              <w:rPr>
                <w:rFonts w:ascii="仿宋" w:hAnsi="仿宋" w:eastAsia="仿宋"/>
                <w:color w:val="000000" w:themeColor="text1"/>
                <w:sz w:val="28"/>
                <w:szCs w:val="28"/>
              </w:rPr>
            </w:pPr>
            <w:r>
              <w:rPr>
                <w:rFonts w:hint="eastAsia" w:ascii="仿宋" w:hAnsi="仿宋" w:eastAsia="仿宋"/>
                <w:color w:val="000000" w:themeColor="text1"/>
                <w:sz w:val="28"/>
                <w:szCs w:val="28"/>
              </w:rPr>
              <w:t>医疗器械生物学评价  第1部分：风险管理过程中的评价与试验</w:t>
            </w:r>
          </w:p>
        </w:tc>
      </w:tr>
      <w:tr w14:paraId="698A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vAlign w:val="center"/>
          </w:tcPr>
          <w:p w14:paraId="32254BAE">
            <w:pPr>
              <w:pStyle w:val="18"/>
              <w:spacing w:line="440" w:lineRule="exact"/>
              <w:ind w:firstLine="0" w:firstLineChars="0"/>
              <w:rPr>
                <w:rFonts w:ascii="仿宋" w:hAnsi="仿宋" w:eastAsia="仿宋"/>
                <w:color w:val="000000" w:themeColor="text1"/>
                <w:sz w:val="28"/>
                <w:szCs w:val="28"/>
              </w:rPr>
            </w:pPr>
            <w:r>
              <w:rPr>
                <w:rFonts w:hint="eastAsia" w:ascii="仿宋" w:hAnsi="仿宋" w:eastAsia="仿宋"/>
                <w:color w:val="000000" w:themeColor="text1"/>
                <w:sz w:val="28"/>
                <w:szCs w:val="28"/>
              </w:rPr>
              <w:t>GB/T 16886.5-2017</w:t>
            </w:r>
          </w:p>
        </w:tc>
        <w:tc>
          <w:tcPr>
            <w:tcW w:w="6432" w:type="dxa"/>
            <w:vAlign w:val="center"/>
          </w:tcPr>
          <w:p w14:paraId="01BBD917">
            <w:pPr>
              <w:pStyle w:val="18"/>
              <w:spacing w:line="440" w:lineRule="exact"/>
              <w:ind w:firstLine="0" w:firstLineChars="0"/>
              <w:rPr>
                <w:rFonts w:ascii="仿宋" w:hAnsi="仿宋" w:eastAsia="仿宋"/>
                <w:color w:val="000000" w:themeColor="text1"/>
                <w:sz w:val="28"/>
                <w:szCs w:val="28"/>
              </w:rPr>
            </w:pPr>
            <w:r>
              <w:rPr>
                <w:rFonts w:hint="eastAsia" w:ascii="仿宋" w:hAnsi="仿宋" w:eastAsia="仿宋"/>
                <w:color w:val="000000" w:themeColor="text1"/>
                <w:sz w:val="28"/>
                <w:szCs w:val="28"/>
              </w:rPr>
              <w:t>医疗器械生物学评价 第5部分：体外细胞毒性试验</w:t>
            </w:r>
          </w:p>
        </w:tc>
      </w:tr>
      <w:tr w14:paraId="53F1D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vAlign w:val="center"/>
          </w:tcPr>
          <w:p w14:paraId="5C5084DE">
            <w:pPr>
              <w:pStyle w:val="18"/>
              <w:spacing w:line="440" w:lineRule="exact"/>
              <w:ind w:firstLine="0" w:firstLineChars="0"/>
              <w:rPr>
                <w:rFonts w:ascii="仿宋" w:hAnsi="仿宋" w:eastAsia="仿宋"/>
                <w:color w:val="000000" w:themeColor="text1"/>
                <w:sz w:val="28"/>
                <w:szCs w:val="28"/>
              </w:rPr>
            </w:pPr>
            <w:r>
              <w:rPr>
                <w:rFonts w:hint="eastAsia" w:ascii="仿宋" w:hAnsi="仿宋" w:eastAsia="仿宋"/>
                <w:color w:val="000000" w:themeColor="text1"/>
                <w:sz w:val="28"/>
                <w:szCs w:val="28"/>
              </w:rPr>
              <w:t>GB/T 16886.7-2015</w:t>
            </w:r>
          </w:p>
        </w:tc>
        <w:tc>
          <w:tcPr>
            <w:tcW w:w="6432" w:type="dxa"/>
            <w:vAlign w:val="center"/>
          </w:tcPr>
          <w:p w14:paraId="757D2A82">
            <w:pPr>
              <w:pStyle w:val="18"/>
              <w:spacing w:line="440" w:lineRule="exact"/>
              <w:ind w:firstLine="0" w:firstLineChars="0"/>
              <w:rPr>
                <w:rFonts w:ascii="仿宋" w:hAnsi="仿宋" w:eastAsia="仿宋"/>
                <w:color w:val="000000" w:themeColor="text1"/>
                <w:sz w:val="28"/>
                <w:szCs w:val="28"/>
              </w:rPr>
            </w:pPr>
            <w:r>
              <w:rPr>
                <w:rFonts w:hint="eastAsia" w:ascii="仿宋" w:hAnsi="仿宋" w:eastAsia="仿宋"/>
                <w:color w:val="000000" w:themeColor="text1"/>
                <w:sz w:val="28"/>
                <w:szCs w:val="28"/>
              </w:rPr>
              <w:t>医疗器械生物学评价  第7部分：环氧乙烷灭菌残留量</w:t>
            </w:r>
          </w:p>
        </w:tc>
      </w:tr>
      <w:tr w14:paraId="665FF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vAlign w:val="center"/>
          </w:tcPr>
          <w:p w14:paraId="0B554C17">
            <w:pPr>
              <w:pStyle w:val="18"/>
              <w:spacing w:line="440" w:lineRule="exact"/>
              <w:ind w:firstLine="0" w:firstLineChars="0"/>
              <w:rPr>
                <w:rFonts w:ascii="仿宋" w:hAnsi="仿宋" w:eastAsia="仿宋"/>
                <w:color w:val="000000" w:themeColor="text1"/>
                <w:sz w:val="28"/>
                <w:szCs w:val="28"/>
              </w:rPr>
            </w:pPr>
            <w:r>
              <w:rPr>
                <w:rFonts w:hint="eastAsia" w:ascii="仿宋" w:hAnsi="仿宋" w:eastAsia="仿宋"/>
                <w:color w:val="000000" w:themeColor="text1"/>
                <w:sz w:val="28"/>
                <w:szCs w:val="28"/>
              </w:rPr>
              <w:t>GB/T 16886.10-2017</w:t>
            </w:r>
          </w:p>
        </w:tc>
        <w:tc>
          <w:tcPr>
            <w:tcW w:w="6432" w:type="dxa"/>
            <w:vAlign w:val="center"/>
          </w:tcPr>
          <w:p w14:paraId="3FD2925D">
            <w:pPr>
              <w:pStyle w:val="18"/>
              <w:spacing w:line="440" w:lineRule="exact"/>
              <w:ind w:firstLine="0" w:firstLineChars="0"/>
              <w:rPr>
                <w:rFonts w:ascii="仿宋" w:hAnsi="仿宋" w:eastAsia="仿宋"/>
                <w:color w:val="000000" w:themeColor="text1"/>
                <w:sz w:val="28"/>
                <w:szCs w:val="28"/>
              </w:rPr>
            </w:pPr>
            <w:r>
              <w:rPr>
                <w:rFonts w:hint="eastAsia" w:ascii="仿宋" w:hAnsi="仿宋" w:eastAsia="仿宋"/>
                <w:color w:val="000000" w:themeColor="text1"/>
                <w:sz w:val="28"/>
                <w:szCs w:val="28"/>
              </w:rPr>
              <w:t>医疗器械生物学评价 第10部分：刺激与迟发型超敏反应试验</w:t>
            </w:r>
          </w:p>
        </w:tc>
      </w:tr>
      <w:tr w14:paraId="792E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807" w:type="dxa"/>
            <w:vAlign w:val="center"/>
          </w:tcPr>
          <w:p w14:paraId="0EAD1156">
            <w:pPr>
              <w:pStyle w:val="18"/>
              <w:spacing w:line="440" w:lineRule="exact"/>
              <w:ind w:firstLine="0" w:firstLineChars="0"/>
              <w:rPr>
                <w:rFonts w:ascii="仿宋" w:hAnsi="仿宋" w:eastAsia="仿宋"/>
                <w:color w:val="000000" w:themeColor="text1"/>
                <w:sz w:val="28"/>
                <w:szCs w:val="28"/>
              </w:rPr>
            </w:pPr>
            <w:r>
              <w:rPr>
                <w:rFonts w:hint="eastAsia" w:ascii="仿宋" w:hAnsi="仿宋" w:eastAsia="仿宋"/>
                <w:bCs/>
                <w:color w:val="000000" w:themeColor="text1"/>
                <w:sz w:val="28"/>
                <w:szCs w:val="28"/>
              </w:rPr>
              <w:t>GB/T 19633.1-2015</w:t>
            </w:r>
          </w:p>
        </w:tc>
        <w:tc>
          <w:tcPr>
            <w:tcW w:w="6432" w:type="dxa"/>
            <w:vAlign w:val="center"/>
          </w:tcPr>
          <w:p w14:paraId="373893BE">
            <w:pPr>
              <w:pStyle w:val="18"/>
              <w:spacing w:line="440" w:lineRule="exact"/>
              <w:ind w:firstLine="0" w:firstLineChars="0"/>
              <w:rPr>
                <w:rFonts w:ascii="仿宋" w:hAnsi="仿宋" w:eastAsia="仿宋"/>
                <w:color w:val="000000" w:themeColor="text1"/>
                <w:sz w:val="28"/>
                <w:szCs w:val="28"/>
              </w:rPr>
            </w:pPr>
            <w:r>
              <w:rPr>
                <w:rFonts w:hint="eastAsia" w:ascii="仿宋" w:hAnsi="仿宋" w:eastAsia="仿宋"/>
                <w:bCs/>
                <w:color w:val="000000" w:themeColor="text1"/>
                <w:sz w:val="28"/>
                <w:szCs w:val="28"/>
              </w:rPr>
              <w:t>最终灭菌医疗器械包装 第1部分</w:t>
            </w:r>
            <w:r>
              <w:rPr>
                <w:rFonts w:ascii="仿宋" w:hAnsi="仿宋" w:eastAsia="仿宋"/>
                <w:bCs/>
                <w:color w:val="000000" w:themeColor="text1"/>
                <w:sz w:val="28"/>
                <w:szCs w:val="28"/>
              </w:rPr>
              <w:t>:材料、无菌屏障系统和包装系统的要求</w:t>
            </w:r>
          </w:p>
        </w:tc>
      </w:tr>
      <w:tr w14:paraId="040F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807" w:type="dxa"/>
            <w:vAlign w:val="center"/>
          </w:tcPr>
          <w:p w14:paraId="3F4AE982">
            <w:pPr>
              <w:pStyle w:val="18"/>
              <w:spacing w:line="440" w:lineRule="exact"/>
              <w:ind w:firstLine="0" w:firstLineChars="0"/>
              <w:rPr>
                <w:rFonts w:ascii="仿宋" w:hAnsi="仿宋" w:eastAsia="仿宋"/>
                <w:bCs/>
                <w:color w:val="000000" w:themeColor="text1"/>
                <w:sz w:val="28"/>
                <w:szCs w:val="28"/>
              </w:rPr>
            </w:pPr>
            <w:r>
              <w:rPr>
                <w:rFonts w:ascii="仿宋" w:hAnsi="仿宋" w:eastAsia="仿宋"/>
                <w:bCs/>
                <w:color w:val="000000" w:themeColor="text1"/>
                <w:sz w:val="28"/>
                <w:szCs w:val="28"/>
              </w:rPr>
              <w:t>GB/T 19633.2-2015</w:t>
            </w:r>
          </w:p>
        </w:tc>
        <w:tc>
          <w:tcPr>
            <w:tcW w:w="6432" w:type="dxa"/>
            <w:vAlign w:val="center"/>
          </w:tcPr>
          <w:p w14:paraId="31935220">
            <w:pPr>
              <w:pStyle w:val="18"/>
              <w:spacing w:line="440" w:lineRule="exact"/>
              <w:ind w:firstLine="0" w:firstLineChars="0"/>
              <w:rPr>
                <w:rFonts w:ascii="仿宋" w:hAnsi="仿宋" w:eastAsia="仿宋"/>
                <w:bCs/>
                <w:color w:val="000000" w:themeColor="text1"/>
                <w:sz w:val="28"/>
                <w:szCs w:val="28"/>
              </w:rPr>
            </w:pPr>
            <w:r>
              <w:rPr>
                <w:rFonts w:ascii="仿宋" w:hAnsi="仿宋" w:eastAsia="仿宋"/>
                <w:bCs/>
                <w:color w:val="000000" w:themeColor="text1"/>
                <w:sz w:val="28"/>
                <w:szCs w:val="28"/>
              </w:rPr>
              <w:t>最终灭菌医疗器械包装 第2部分:成形、密封和装配过程的确认的要求</w:t>
            </w:r>
          </w:p>
        </w:tc>
      </w:tr>
      <w:tr w14:paraId="10B49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vAlign w:val="center"/>
          </w:tcPr>
          <w:p w14:paraId="46F30B7F">
            <w:pPr>
              <w:pStyle w:val="18"/>
              <w:spacing w:line="440" w:lineRule="exact"/>
              <w:ind w:firstLine="0" w:firstLineChars="0"/>
              <w:rPr>
                <w:rFonts w:ascii="仿宋" w:hAnsi="仿宋" w:eastAsia="仿宋"/>
                <w:color w:val="000000" w:themeColor="text1"/>
                <w:sz w:val="28"/>
                <w:szCs w:val="28"/>
              </w:rPr>
            </w:pPr>
            <w:r>
              <w:rPr>
                <w:rFonts w:hint="eastAsia" w:ascii="仿宋" w:hAnsi="仿宋" w:eastAsia="仿宋"/>
                <w:color w:val="000000" w:themeColor="text1"/>
                <w:sz w:val="28"/>
                <w:szCs w:val="28"/>
              </w:rPr>
              <w:t>YY 0450.1-2020</w:t>
            </w:r>
          </w:p>
        </w:tc>
        <w:tc>
          <w:tcPr>
            <w:tcW w:w="6432" w:type="dxa"/>
            <w:vAlign w:val="center"/>
          </w:tcPr>
          <w:p w14:paraId="05629689">
            <w:pPr>
              <w:pStyle w:val="18"/>
              <w:spacing w:line="440" w:lineRule="exact"/>
              <w:ind w:firstLine="0" w:firstLineChars="0"/>
              <w:rPr>
                <w:rFonts w:ascii="仿宋" w:hAnsi="仿宋" w:eastAsia="仿宋"/>
                <w:color w:val="000000" w:themeColor="text1"/>
                <w:sz w:val="28"/>
                <w:szCs w:val="28"/>
              </w:rPr>
            </w:pPr>
            <w:r>
              <w:rPr>
                <w:rFonts w:hint="eastAsia" w:ascii="仿宋" w:hAnsi="仿宋" w:eastAsia="仿宋"/>
                <w:color w:val="000000" w:themeColor="text1"/>
                <w:sz w:val="28"/>
                <w:szCs w:val="28"/>
              </w:rPr>
              <w:t>一次性使用无菌血管内导管辅件 第1部分：导引器械</w:t>
            </w:r>
          </w:p>
        </w:tc>
      </w:tr>
      <w:tr w14:paraId="496B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vAlign w:val="center"/>
          </w:tcPr>
          <w:p w14:paraId="0271347E">
            <w:pPr>
              <w:pStyle w:val="18"/>
              <w:spacing w:line="440" w:lineRule="exact"/>
              <w:ind w:firstLine="0" w:firstLineChars="0"/>
              <w:rPr>
                <w:rFonts w:ascii="仿宋" w:hAnsi="仿宋" w:eastAsia="仿宋"/>
                <w:color w:val="000000" w:themeColor="text1"/>
                <w:sz w:val="28"/>
                <w:szCs w:val="28"/>
              </w:rPr>
            </w:pPr>
            <w:r>
              <w:rPr>
                <w:rFonts w:hint="eastAsia" w:ascii="仿宋" w:hAnsi="仿宋" w:eastAsia="仿宋"/>
                <w:color w:val="000000" w:themeColor="text1"/>
                <w:sz w:val="28"/>
                <w:szCs w:val="28"/>
              </w:rPr>
              <w:t>YY/T 0316-2016</w:t>
            </w:r>
          </w:p>
        </w:tc>
        <w:tc>
          <w:tcPr>
            <w:tcW w:w="6432" w:type="dxa"/>
            <w:vAlign w:val="center"/>
          </w:tcPr>
          <w:p w14:paraId="4228360B">
            <w:pPr>
              <w:pStyle w:val="18"/>
              <w:spacing w:line="440" w:lineRule="exact"/>
              <w:ind w:firstLine="0" w:firstLineChars="0"/>
              <w:rPr>
                <w:rFonts w:ascii="仿宋" w:hAnsi="仿宋" w:eastAsia="仿宋"/>
                <w:color w:val="000000" w:themeColor="text1"/>
                <w:sz w:val="28"/>
                <w:szCs w:val="28"/>
              </w:rPr>
            </w:pPr>
            <w:r>
              <w:rPr>
                <w:rFonts w:hint="eastAsia" w:ascii="仿宋" w:hAnsi="仿宋" w:eastAsia="仿宋"/>
                <w:color w:val="000000" w:themeColor="text1"/>
                <w:sz w:val="28"/>
                <w:szCs w:val="28"/>
              </w:rPr>
              <w:t>医疗器械风险管理对医疗器械的应用</w:t>
            </w:r>
          </w:p>
        </w:tc>
      </w:tr>
      <w:tr w14:paraId="37422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vAlign w:val="center"/>
          </w:tcPr>
          <w:p w14:paraId="158C183E">
            <w:pPr>
              <w:pStyle w:val="18"/>
              <w:spacing w:line="440" w:lineRule="exact"/>
              <w:ind w:firstLine="0" w:firstLineChars="0"/>
              <w:rPr>
                <w:rFonts w:ascii="仿宋" w:hAnsi="仿宋" w:eastAsia="仿宋"/>
                <w:color w:val="000000" w:themeColor="text1"/>
                <w:sz w:val="28"/>
                <w:szCs w:val="28"/>
              </w:rPr>
            </w:pPr>
            <w:r>
              <w:rPr>
                <w:rFonts w:hint="eastAsia" w:ascii="仿宋" w:hAnsi="仿宋" w:eastAsia="仿宋"/>
                <w:color w:val="000000" w:themeColor="text1"/>
                <w:sz w:val="28"/>
                <w:szCs w:val="28"/>
              </w:rPr>
              <w:t>YY/T 0466.1-2016</w:t>
            </w:r>
          </w:p>
        </w:tc>
        <w:tc>
          <w:tcPr>
            <w:tcW w:w="6432" w:type="dxa"/>
            <w:vAlign w:val="center"/>
          </w:tcPr>
          <w:p w14:paraId="056EA61C">
            <w:pPr>
              <w:pStyle w:val="18"/>
              <w:spacing w:line="440" w:lineRule="exact"/>
              <w:ind w:firstLine="0" w:firstLineChars="0"/>
              <w:rPr>
                <w:rFonts w:ascii="仿宋" w:hAnsi="仿宋" w:eastAsia="仿宋"/>
                <w:color w:val="000000" w:themeColor="text1"/>
                <w:sz w:val="28"/>
                <w:szCs w:val="28"/>
              </w:rPr>
            </w:pPr>
            <w:r>
              <w:rPr>
                <w:rFonts w:hint="eastAsia" w:ascii="仿宋" w:hAnsi="仿宋" w:eastAsia="仿宋"/>
                <w:color w:val="000000" w:themeColor="text1"/>
                <w:sz w:val="28"/>
                <w:szCs w:val="28"/>
              </w:rPr>
              <w:t>医疗器械 用于医疗器械标签、标记和提供信息的符号 第1部分：通用要求</w:t>
            </w:r>
          </w:p>
        </w:tc>
      </w:tr>
      <w:tr w14:paraId="1DDC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vAlign w:val="center"/>
          </w:tcPr>
          <w:p w14:paraId="11C9E3ED">
            <w:pPr>
              <w:pStyle w:val="18"/>
              <w:spacing w:line="440" w:lineRule="exact"/>
              <w:ind w:firstLine="0" w:firstLineChars="0"/>
              <w:rPr>
                <w:rFonts w:ascii="仿宋" w:hAnsi="仿宋" w:eastAsia="仿宋"/>
                <w:color w:val="000000" w:themeColor="text1"/>
                <w:sz w:val="28"/>
                <w:szCs w:val="28"/>
              </w:rPr>
            </w:pPr>
            <w:r>
              <w:rPr>
                <w:rFonts w:hint="eastAsia" w:ascii="仿宋" w:hAnsi="仿宋" w:eastAsia="仿宋"/>
                <w:color w:val="000000" w:themeColor="text1"/>
                <w:sz w:val="28"/>
                <w:szCs w:val="28"/>
              </w:rPr>
              <w:t>YY/T 0586-2016</w:t>
            </w:r>
          </w:p>
        </w:tc>
        <w:tc>
          <w:tcPr>
            <w:tcW w:w="6432" w:type="dxa"/>
            <w:vAlign w:val="center"/>
          </w:tcPr>
          <w:p w14:paraId="158AA9F7">
            <w:pPr>
              <w:pStyle w:val="18"/>
              <w:spacing w:line="440" w:lineRule="exact"/>
              <w:ind w:firstLine="0" w:firstLineChars="0"/>
              <w:rPr>
                <w:rFonts w:ascii="仿宋" w:hAnsi="仿宋" w:eastAsia="仿宋"/>
                <w:color w:val="000000" w:themeColor="text1"/>
                <w:sz w:val="28"/>
                <w:szCs w:val="28"/>
              </w:rPr>
            </w:pPr>
            <w:r>
              <w:rPr>
                <w:rFonts w:hint="eastAsia" w:ascii="仿宋" w:hAnsi="仿宋" w:eastAsia="仿宋"/>
                <w:color w:val="000000" w:themeColor="text1"/>
                <w:sz w:val="28"/>
                <w:szCs w:val="28"/>
              </w:rPr>
              <w:t>医用高分子制品 X射线不透性试验方法</w:t>
            </w:r>
          </w:p>
        </w:tc>
      </w:tr>
      <w:tr w14:paraId="52EE6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vAlign w:val="center"/>
          </w:tcPr>
          <w:p w14:paraId="45D9B5F3">
            <w:pPr>
              <w:pStyle w:val="18"/>
              <w:spacing w:line="440" w:lineRule="exact"/>
              <w:ind w:firstLine="0" w:firstLineChars="0"/>
              <w:rPr>
                <w:rFonts w:ascii="仿宋" w:hAnsi="仿宋" w:eastAsia="仿宋"/>
                <w:color w:val="000000" w:themeColor="text1"/>
                <w:sz w:val="28"/>
                <w:szCs w:val="28"/>
              </w:rPr>
            </w:pPr>
            <w:r>
              <w:rPr>
                <w:rFonts w:hint="eastAsia" w:ascii="仿宋" w:hAnsi="仿宋" w:eastAsia="仿宋"/>
                <w:color w:val="000000" w:themeColor="text1"/>
                <w:sz w:val="28"/>
                <w:szCs w:val="28"/>
              </w:rPr>
              <w:t>YY/T 0615.1-2007</w:t>
            </w:r>
          </w:p>
        </w:tc>
        <w:tc>
          <w:tcPr>
            <w:tcW w:w="6432" w:type="dxa"/>
            <w:vAlign w:val="center"/>
          </w:tcPr>
          <w:p w14:paraId="72693B19">
            <w:pPr>
              <w:pStyle w:val="18"/>
              <w:spacing w:line="440" w:lineRule="exact"/>
              <w:ind w:firstLine="0" w:firstLineChars="0"/>
              <w:rPr>
                <w:rFonts w:ascii="仿宋" w:hAnsi="仿宋" w:eastAsia="仿宋"/>
                <w:color w:val="000000" w:themeColor="text1"/>
                <w:sz w:val="28"/>
                <w:szCs w:val="28"/>
              </w:rPr>
            </w:pPr>
            <w:r>
              <w:rPr>
                <w:rFonts w:hint="eastAsia" w:ascii="仿宋" w:hAnsi="仿宋" w:eastAsia="仿宋"/>
                <w:color w:val="000000" w:themeColor="text1"/>
                <w:sz w:val="28"/>
                <w:szCs w:val="28"/>
              </w:rPr>
              <w:t>标示“无菌”医疗器械的要求 第1部分：最终灭菌医疗器械的要求</w:t>
            </w:r>
          </w:p>
        </w:tc>
      </w:tr>
      <w:tr w14:paraId="6E5F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vAlign w:val="center"/>
          </w:tcPr>
          <w:p w14:paraId="23FF8A11">
            <w:pPr>
              <w:pStyle w:val="18"/>
              <w:spacing w:line="440" w:lineRule="exact"/>
              <w:ind w:firstLine="0" w:firstLineChars="0"/>
              <w:rPr>
                <w:rFonts w:ascii="仿宋" w:hAnsi="仿宋" w:eastAsia="仿宋"/>
                <w:color w:val="000000" w:themeColor="text1"/>
                <w:sz w:val="28"/>
                <w:szCs w:val="28"/>
              </w:rPr>
            </w:pPr>
            <w:r>
              <w:rPr>
                <w:rFonts w:ascii="仿宋" w:hAnsi="仿宋" w:eastAsia="仿宋"/>
                <w:color w:val="000000" w:themeColor="text1"/>
                <w:sz w:val="28"/>
                <w:szCs w:val="28"/>
              </w:rPr>
              <w:t>YY/T 0681.1-2018</w:t>
            </w:r>
          </w:p>
        </w:tc>
        <w:tc>
          <w:tcPr>
            <w:tcW w:w="6432" w:type="dxa"/>
            <w:vAlign w:val="center"/>
          </w:tcPr>
          <w:p w14:paraId="1F0FEB52">
            <w:pPr>
              <w:pStyle w:val="18"/>
              <w:spacing w:line="440" w:lineRule="exact"/>
              <w:ind w:firstLine="0" w:firstLineChars="0"/>
              <w:rPr>
                <w:rFonts w:ascii="仿宋" w:hAnsi="仿宋" w:eastAsia="仿宋"/>
                <w:color w:val="000000" w:themeColor="text1"/>
                <w:sz w:val="28"/>
                <w:szCs w:val="28"/>
              </w:rPr>
            </w:pPr>
            <w:r>
              <w:rPr>
                <w:rFonts w:hint="eastAsia" w:ascii="仿宋" w:hAnsi="仿宋" w:eastAsia="仿宋"/>
                <w:color w:val="000000" w:themeColor="text1"/>
                <w:sz w:val="28"/>
                <w:szCs w:val="28"/>
              </w:rPr>
              <w:t>无菌医疗器械包装试验方法 第1部分：加速老化试验指南</w:t>
            </w:r>
          </w:p>
        </w:tc>
      </w:tr>
      <w:tr w14:paraId="4639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807" w:type="dxa"/>
            <w:vAlign w:val="center"/>
          </w:tcPr>
          <w:p w14:paraId="684D07B6">
            <w:pPr>
              <w:pStyle w:val="18"/>
              <w:spacing w:line="440" w:lineRule="exact"/>
              <w:ind w:firstLine="0" w:firstLineChars="0"/>
              <w:rPr>
                <w:rFonts w:ascii="仿宋" w:hAnsi="仿宋" w:eastAsia="仿宋"/>
                <w:color w:val="000000" w:themeColor="text1"/>
                <w:sz w:val="28"/>
                <w:szCs w:val="28"/>
              </w:rPr>
            </w:pPr>
          </w:p>
        </w:tc>
        <w:tc>
          <w:tcPr>
            <w:tcW w:w="6432" w:type="dxa"/>
            <w:vAlign w:val="center"/>
          </w:tcPr>
          <w:p w14:paraId="12E706FF">
            <w:pPr>
              <w:pStyle w:val="18"/>
              <w:spacing w:line="440" w:lineRule="exact"/>
              <w:ind w:firstLine="0" w:firstLineChars="0"/>
              <w:rPr>
                <w:rFonts w:ascii="仿宋" w:hAnsi="仿宋" w:eastAsia="仿宋"/>
                <w:color w:val="000000" w:themeColor="text1"/>
                <w:sz w:val="28"/>
                <w:szCs w:val="28"/>
              </w:rPr>
            </w:pPr>
            <w:r>
              <w:rPr>
                <w:rFonts w:hint="eastAsia" w:ascii="仿宋" w:hAnsi="仿宋" w:eastAsia="仿宋"/>
                <w:color w:val="000000" w:themeColor="text1"/>
                <w:sz w:val="28"/>
                <w:szCs w:val="28"/>
              </w:rPr>
              <w:t>中华人民共和国药典四部（2020版）</w:t>
            </w:r>
          </w:p>
        </w:tc>
      </w:tr>
    </w:tbl>
    <w:p w14:paraId="460D46D5">
      <w:pPr>
        <w:spacing w:line="520" w:lineRule="exact"/>
        <w:jc w:val="center"/>
        <w:rPr>
          <w:rFonts w:ascii="仿宋_GB2312" w:hAnsi="仿宋" w:eastAsia="仿宋_GB2312" w:cs="仿宋_GB2312"/>
          <w:color w:val="000000" w:themeColor="text1"/>
          <w:sz w:val="32"/>
          <w:szCs w:val="32"/>
        </w:rPr>
      </w:pPr>
    </w:p>
    <w:p w14:paraId="1FD77C19">
      <w:pPr>
        <w:spacing w:line="520" w:lineRule="exact"/>
        <w:ind w:firstLine="640" w:firstLineChars="200"/>
        <w:jc w:val="lef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上述标准包括了产品技术要求中经常涉及的标准。企业需要根据产品的特点引用以上标准中适用的标准，特殊需要时也可以引用其他标准。</w:t>
      </w:r>
      <w:bookmarkStart w:id="12" w:name="_GoBack"/>
      <w:bookmarkEnd w:id="12"/>
    </w:p>
    <w:p w14:paraId="79AD84E4">
      <w:pPr>
        <w:spacing w:line="52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产品适用及引用标准的审查可以分两步来进行。首先对引用标准的齐全性和适宜性进行审查，也就是在编写产品技术要求时与产品相关的国家、行业标准是否进行了引用，以及引用是否准确。可以通过对研究资料中的产品性能研究是否引用了相关标准，以及所引用的标准是否适宜来进行审查。</w:t>
      </w:r>
    </w:p>
    <w:p w14:paraId="4F49AE06">
      <w:pPr>
        <w:spacing w:line="52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其次对引用标准的采纳情况进行审查。即，所引用的标准中的条款要求，是否在产品技术要求中进行了实质性的条款引用。这种引用通常采用两种方式，文字表述繁多内容复杂的可以直接引用标准及条文号，比较简单的也可以直接引述具体要求。</w:t>
      </w:r>
    </w:p>
    <w:p w14:paraId="38D0451B">
      <w:pPr>
        <w:spacing w:line="52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如有新版国家标准、行业标准发布实施，产品性能指标等要求应执行最新版本的国家标准、行业标准。</w:t>
      </w:r>
    </w:p>
    <w:p w14:paraId="45D6B3E6">
      <w:pPr>
        <w:spacing w:line="520" w:lineRule="exact"/>
        <w:ind w:firstLine="640" w:firstLineChars="200"/>
        <w:rPr>
          <w:rFonts w:ascii="楷体_GB2312" w:hAnsi="楷体" w:eastAsia="楷体_GB2312"/>
          <w:color w:val="000000" w:themeColor="text1"/>
          <w:sz w:val="32"/>
          <w:szCs w:val="32"/>
        </w:rPr>
      </w:pPr>
      <w:r>
        <w:rPr>
          <w:rFonts w:hint="eastAsia" w:ascii="楷体_GB2312" w:hAnsi="楷体" w:eastAsia="楷体_GB2312"/>
          <w:color w:val="000000" w:themeColor="text1"/>
          <w:sz w:val="32"/>
          <w:szCs w:val="32"/>
        </w:rPr>
        <w:t>（六）产品的适用范围、禁忌症</w:t>
      </w:r>
    </w:p>
    <w:p w14:paraId="1A251271">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适用范围：用于引导器械，进入泌尿系腔道或组织。制定适用范围时其描述内容应包括配合使用器械（如有）、使用部位、用途。其描述应根据产品自身特点,与申报产品的性能、功能相符，并应与临床评价资料结论一致。   </w:t>
      </w:r>
    </w:p>
    <w:p w14:paraId="170ADBF8">
      <w:pPr>
        <w:spacing w:line="520" w:lineRule="exact"/>
        <w:ind w:firstLine="640" w:firstLineChars="200"/>
        <w:rPr>
          <w:rFonts w:ascii="仿宋_GB2312" w:hAnsi="仿宋" w:eastAsia="仿宋_GB2312"/>
          <w:color w:val="000000" w:themeColor="text1"/>
          <w:sz w:val="32"/>
          <w:szCs w:val="32"/>
        </w:rPr>
      </w:pPr>
      <w:r>
        <w:rPr>
          <w:rFonts w:hint="eastAsia" w:ascii="仿宋" w:hAnsi="仿宋" w:eastAsia="仿宋"/>
          <w:color w:val="000000" w:themeColor="text1"/>
          <w:sz w:val="32"/>
          <w:szCs w:val="32"/>
        </w:rPr>
        <w:t>禁忌症：暂未发现。</w:t>
      </w:r>
    </w:p>
    <w:p w14:paraId="0BB0D483">
      <w:pPr>
        <w:spacing w:line="520" w:lineRule="exact"/>
        <w:ind w:firstLine="640" w:firstLineChars="200"/>
        <w:rPr>
          <w:rFonts w:ascii="楷体_GB2312" w:hAnsi="楷体" w:eastAsia="楷体_GB2312"/>
          <w:color w:val="000000" w:themeColor="text1"/>
          <w:sz w:val="32"/>
          <w:szCs w:val="32"/>
        </w:rPr>
      </w:pPr>
      <w:r>
        <w:rPr>
          <w:rFonts w:hint="eastAsia" w:ascii="楷体_GB2312" w:hAnsi="楷体" w:eastAsia="楷体_GB2312"/>
          <w:color w:val="000000" w:themeColor="text1"/>
          <w:sz w:val="32"/>
          <w:szCs w:val="32"/>
        </w:rPr>
        <w:t>（七）产品的主要风险</w:t>
      </w:r>
    </w:p>
    <w:p w14:paraId="79A68466">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导丝产品在进行风险分析时应符合YY/T0316-2016《医疗器械 风险管理对医疗器械的应用》的要求。</w:t>
      </w:r>
    </w:p>
    <w:p w14:paraId="1B09BA9A">
      <w:pPr>
        <w:spacing w:line="520" w:lineRule="exact"/>
        <w:ind w:firstLine="640" w:firstLineChars="200"/>
        <w:rPr>
          <w:rFonts w:ascii="仿宋_GB2312" w:hAnsi="仿宋" w:eastAsia="仿宋_GB2312"/>
          <w:color w:val="000000" w:themeColor="text1"/>
          <w:sz w:val="32"/>
          <w:szCs w:val="32"/>
        </w:rPr>
      </w:pPr>
      <w:r>
        <w:rPr>
          <w:rFonts w:hint="eastAsia" w:ascii="仿宋" w:hAnsi="仿宋" w:eastAsia="仿宋"/>
          <w:color w:val="000000" w:themeColor="text1"/>
          <w:sz w:val="32"/>
          <w:szCs w:val="32"/>
        </w:rPr>
        <w:t>企业在进行风险分析时，至少应考虑表3中的主要危害，企业还应根据自身产品特点确定其他危害。针对产品的各项风险，企业应采取应对措施，确保风险降到可接受的程度。</w:t>
      </w:r>
    </w:p>
    <w:p w14:paraId="6D26AE1D">
      <w:pPr>
        <w:spacing w:line="520" w:lineRule="exact"/>
        <w:ind w:firstLine="640" w:firstLineChars="200"/>
        <w:jc w:val="center"/>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表3  产品主要危害</w:t>
      </w:r>
    </w:p>
    <w:tbl>
      <w:tblPr>
        <w:tblStyle w:val="13"/>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050"/>
        <w:gridCol w:w="2976"/>
        <w:gridCol w:w="3119"/>
      </w:tblGrid>
      <w:tr w14:paraId="58ED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tblHeader/>
          <w:jc w:val="center"/>
        </w:trPr>
        <w:tc>
          <w:tcPr>
            <w:tcW w:w="2829" w:type="dxa"/>
            <w:gridSpan w:val="2"/>
            <w:vAlign w:val="center"/>
          </w:tcPr>
          <w:p w14:paraId="0046D87C">
            <w:pPr>
              <w:tabs>
                <w:tab w:val="center" w:pos="1407"/>
                <w:tab w:val="right" w:pos="2814"/>
              </w:tabs>
              <w:spacing w:line="44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lang w:val="en-US" w:eastAsia="zh-CN"/>
              </w:rPr>
              <w:t>危险（源）</w:t>
            </w:r>
            <w:r>
              <w:rPr>
                <w:rFonts w:hint="eastAsia" w:ascii="仿宋" w:hAnsi="仿宋" w:eastAsia="仿宋"/>
                <w:color w:val="000000" w:themeColor="text1"/>
                <w:sz w:val="28"/>
                <w:szCs w:val="28"/>
              </w:rPr>
              <w:t>的分类</w:t>
            </w:r>
          </w:p>
        </w:tc>
        <w:tc>
          <w:tcPr>
            <w:tcW w:w="2976" w:type="dxa"/>
            <w:vAlign w:val="center"/>
          </w:tcPr>
          <w:p w14:paraId="5D568543">
            <w:pPr>
              <w:spacing w:line="44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lang w:val="en-US" w:eastAsia="zh-CN"/>
              </w:rPr>
              <w:t>危险（源）</w:t>
            </w:r>
            <w:r>
              <w:rPr>
                <w:rFonts w:hint="eastAsia" w:ascii="仿宋" w:hAnsi="仿宋" w:eastAsia="仿宋"/>
                <w:color w:val="000000" w:themeColor="text1"/>
                <w:sz w:val="28"/>
                <w:szCs w:val="28"/>
              </w:rPr>
              <w:t>的形成因素</w:t>
            </w:r>
          </w:p>
        </w:tc>
        <w:tc>
          <w:tcPr>
            <w:tcW w:w="3119" w:type="dxa"/>
            <w:vAlign w:val="center"/>
          </w:tcPr>
          <w:p w14:paraId="1EF912D5">
            <w:pPr>
              <w:spacing w:line="44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可能的后果</w:t>
            </w:r>
          </w:p>
        </w:tc>
      </w:tr>
      <w:tr w14:paraId="4028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9" w:type="dxa"/>
            <w:vMerge w:val="restart"/>
            <w:vAlign w:val="center"/>
          </w:tcPr>
          <w:p w14:paraId="3EDCB68C">
            <w:pPr>
              <w:spacing w:line="440" w:lineRule="exact"/>
              <w:jc w:val="left"/>
              <w:rPr>
                <w:rFonts w:ascii="仿宋" w:hAnsi="仿宋" w:eastAsia="仿宋"/>
                <w:color w:val="000000" w:themeColor="text1"/>
                <w:sz w:val="28"/>
                <w:szCs w:val="28"/>
              </w:rPr>
            </w:pPr>
            <w:r>
              <w:rPr>
                <w:rFonts w:hint="eastAsia" w:ascii="仿宋" w:hAnsi="仿宋" w:eastAsia="仿宋"/>
                <w:color w:val="000000" w:themeColor="text1"/>
                <w:sz w:val="28"/>
                <w:szCs w:val="28"/>
              </w:rPr>
              <w:t>生物学危害危险（源）</w:t>
            </w:r>
          </w:p>
        </w:tc>
        <w:tc>
          <w:tcPr>
            <w:tcW w:w="2050" w:type="dxa"/>
            <w:vAlign w:val="center"/>
          </w:tcPr>
          <w:p w14:paraId="46E41BAC">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生物污染 </w:t>
            </w:r>
          </w:p>
        </w:tc>
        <w:tc>
          <w:tcPr>
            <w:tcW w:w="2976" w:type="dxa"/>
            <w:vAlign w:val="center"/>
          </w:tcPr>
          <w:p w14:paraId="182CBF82">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生产环境污染产品，如外来的纤维、粉尘、细菌等其他杂质；</w:t>
            </w:r>
          </w:p>
          <w:p w14:paraId="61CE790D">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产品原材料受到污染；</w:t>
            </w:r>
          </w:p>
          <w:p w14:paraId="3A929741">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灭菌操作不严格； </w:t>
            </w:r>
          </w:p>
          <w:p w14:paraId="03EE3FCD">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包装破损；</w:t>
            </w:r>
          </w:p>
          <w:p w14:paraId="12462614">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使用时操作不正规</w:t>
            </w:r>
          </w:p>
        </w:tc>
        <w:tc>
          <w:tcPr>
            <w:tcW w:w="3119" w:type="dxa"/>
            <w:vAlign w:val="center"/>
          </w:tcPr>
          <w:p w14:paraId="733DFDDF">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产品带菌、引起患者感染 </w:t>
            </w:r>
          </w:p>
        </w:tc>
      </w:tr>
      <w:tr w14:paraId="75E39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9" w:type="dxa"/>
            <w:vMerge w:val="continue"/>
            <w:vAlign w:val="center"/>
          </w:tcPr>
          <w:p w14:paraId="68211076">
            <w:pPr>
              <w:spacing w:line="440" w:lineRule="exact"/>
              <w:rPr>
                <w:rFonts w:ascii="仿宋" w:hAnsi="仿宋" w:eastAsia="仿宋"/>
                <w:color w:val="000000" w:themeColor="text1"/>
                <w:sz w:val="28"/>
                <w:szCs w:val="28"/>
              </w:rPr>
            </w:pPr>
          </w:p>
        </w:tc>
        <w:tc>
          <w:tcPr>
            <w:tcW w:w="2050" w:type="dxa"/>
            <w:vAlign w:val="center"/>
          </w:tcPr>
          <w:p w14:paraId="2DE925B4">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生物不相容性</w:t>
            </w:r>
          </w:p>
        </w:tc>
        <w:tc>
          <w:tcPr>
            <w:tcW w:w="2976" w:type="dxa"/>
            <w:vAlign w:val="center"/>
          </w:tcPr>
          <w:p w14:paraId="34796E4E">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残留物过多；</w:t>
            </w:r>
          </w:p>
          <w:p w14:paraId="50DC8684">
            <w:pPr>
              <w:spacing w:line="440" w:lineRule="exact"/>
              <w:rPr>
                <w:rFonts w:ascii="仿宋" w:hAnsi="仿宋" w:eastAsia="仿宋"/>
                <w:color w:val="000000" w:themeColor="text1"/>
                <w:sz w:val="28"/>
                <w:szCs w:val="28"/>
              </w:rPr>
            </w:pPr>
            <w:r>
              <w:rPr>
                <w:rFonts w:hint="eastAsia" w:ascii="仿宋" w:hAnsi="仿宋" w:eastAsia="仿宋"/>
                <w:color w:val="000000" w:themeColor="text1"/>
                <w:spacing w:val="-10"/>
                <w:sz w:val="28"/>
                <w:szCs w:val="28"/>
              </w:rPr>
              <w:t xml:space="preserve">加工工艺控制不严格 </w:t>
            </w:r>
          </w:p>
        </w:tc>
        <w:tc>
          <w:tcPr>
            <w:tcW w:w="3119" w:type="dxa"/>
            <w:vAlign w:val="center"/>
          </w:tcPr>
          <w:p w14:paraId="4BC0874F">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涂层溶剂残留、金属碎屑残留</w:t>
            </w:r>
          </w:p>
        </w:tc>
      </w:tr>
      <w:tr w14:paraId="1B678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9" w:type="dxa"/>
            <w:vMerge w:val="continue"/>
            <w:vAlign w:val="center"/>
          </w:tcPr>
          <w:p w14:paraId="34C9DB2E">
            <w:pPr>
              <w:spacing w:line="440" w:lineRule="exact"/>
              <w:rPr>
                <w:rFonts w:ascii="仿宋" w:hAnsi="仿宋" w:eastAsia="仿宋"/>
                <w:color w:val="000000" w:themeColor="text1"/>
                <w:sz w:val="28"/>
                <w:szCs w:val="28"/>
              </w:rPr>
            </w:pPr>
          </w:p>
        </w:tc>
        <w:tc>
          <w:tcPr>
            <w:tcW w:w="2050" w:type="dxa"/>
            <w:vAlign w:val="center"/>
          </w:tcPr>
          <w:p w14:paraId="1B9AB6B9">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再感染和(或)交叉感染</w:t>
            </w:r>
          </w:p>
        </w:tc>
        <w:tc>
          <w:tcPr>
            <w:tcW w:w="2976" w:type="dxa"/>
            <w:vAlign w:val="center"/>
          </w:tcPr>
          <w:p w14:paraId="6E027055">
            <w:pPr>
              <w:spacing w:line="440" w:lineRule="exact"/>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lang w:val="en-US" w:eastAsia="zh-CN"/>
              </w:rPr>
              <w:t>标识不清；</w:t>
            </w:r>
          </w:p>
          <w:p w14:paraId="59DF3889">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未按使用要求一次性使用</w:t>
            </w:r>
          </w:p>
        </w:tc>
        <w:tc>
          <w:tcPr>
            <w:tcW w:w="3119" w:type="dxa"/>
            <w:vAlign w:val="center"/>
          </w:tcPr>
          <w:p w14:paraId="65257FE3">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引起感染、交叉感染</w:t>
            </w:r>
          </w:p>
        </w:tc>
      </w:tr>
      <w:tr w14:paraId="66ED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9" w:type="dxa"/>
            <w:vMerge w:val="restart"/>
            <w:vAlign w:val="center"/>
          </w:tcPr>
          <w:p w14:paraId="3470A329">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环境</w:t>
            </w:r>
          </w:p>
          <w:p w14:paraId="38B9BBCD">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危险（源）</w:t>
            </w:r>
          </w:p>
        </w:tc>
        <w:tc>
          <w:tcPr>
            <w:tcW w:w="2050" w:type="dxa"/>
            <w:vAlign w:val="center"/>
          </w:tcPr>
          <w:p w14:paraId="0911C912">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储存或运行偏离预订的环境条件</w:t>
            </w:r>
          </w:p>
        </w:tc>
        <w:tc>
          <w:tcPr>
            <w:tcW w:w="2976" w:type="dxa"/>
            <w:vAlign w:val="center"/>
          </w:tcPr>
          <w:p w14:paraId="1B2BF959">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储运条件（如温度、湿度、臭氧/紫外线、有机溶剂）不符合要求</w:t>
            </w:r>
          </w:p>
        </w:tc>
        <w:tc>
          <w:tcPr>
            <w:tcW w:w="3119" w:type="dxa"/>
            <w:vAlign w:val="center"/>
          </w:tcPr>
          <w:p w14:paraId="22B4B8D0">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产品老化、无菌有效期缩短</w:t>
            </w:r>
          </w:p>
        </w:tc>
      </w:tr>
      <w:tr w14:paraId="1A5B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9" w:type="dxa"/>
            <w:vMerge w:val="continue"/>
            <w:vAlign w:val="center"/>
          </w:tcPr>
          <w:p w14:paraId="31ADE532">
            <w:pPr>
              <w:spacing w:line="440" w:lineRule="exact"/>
              <w:rPr>
                <w:rFonts w:ascii="仿宋" w:hAnsi="仿宋" w:eastAsia="仿宋"/>
                <w:color w:val="000000" w:themeColor="text1"/>
                <w:sz w:val="28"/>
                <w:szCs w:val="28"/>
              </w:rPr>
            </w:pPr>
          </w:p>
        </w:tc>
        <w:tc>
          <w:tcPr>
            <w:tcW w:w="2050" w:type="dxa"/>
            <w:vAlign w:val="center"/>
          </w:tcPr>
          <w:p w14:paraId="19EA871C">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意外的机械破坏</w:t>
            </w:r>
          </w:p>
        </w:tc>
        <w:tc>
          <w:tcPr>
            <w:tcW w:w="2976" w:type="dxa"/>
            <w:vAlign w:val="center"/>
          </w:tcPr>
          <w:p w14:paraId="0777B321">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储运、使用过程中发生意外的机械性破坏</w:t>
            </w:r>
          </w:p>
        </w:tc>
        <w:tc>
          <w:tcPr>
            <w:tcW w:w="3119" w:type="dxa"/>
            <w:vAlign w:val="center"/>
          </w:tcPr>
          <w:p w14:paraId="601111ED">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产品使用性能无法得到保证</w:t>
            </w:r>
          </w:p>
        </w:tc>
      </w:tr>
      <w:tr w14:paraId="08DA8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779" w:type="dxa"/>
            <w:vMerge w:val="continue"/>
            <w:vAlign w:val="center"/>
          </w:tcPr>
          <w:p w14:paraId="0B86089C">
            <w:pPr>
              <w:spacing w:line="440" w:lineRule="exact"/>
              <w:rPr>
                <w:rFonts w:ascii="仿宋" w:hAnsi="仿宋" w:eastAsia="仿宋"/>
                <w:color w:val="000000" w:themeColor="text1"/>
                <w:sz w:val="28"/>
                <w:szCs w:val="28"/>
              </w:rPr>
            </w:pPr>
          </w:p>
        </w:tc>
        <w:tc>
          <w:tcPr>
            <w:tcW w:w="2050" w:type="dxa"/>
            <w:vAlign w:val="center"/>
          </w:tcPr>
          <w:p w14:paraId="08314389">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由于废物和（或）医疗器械处置的污染</w:t>
            </w:r>
          </w:p>
        </w:tc>
        <w:tc>
          <w:tcPr>
            <w:tcW w:w="2976" w:type="dxa"/>
            <w:vAlign w:val="center"/>
          </w:tcPr>
          <w:p w14:paraId="6B819275">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使用后的产品没有按照要求集中销毁</w:t>
            </w:r>
          </w:p>
        </w:tc>
        <w:tc>
          <w:tcPr>
            <w:tcW w:w="3119" w:type="dxa"/>
            <w:vAlign w:val="center"/>
          </w:tcPr>
          <w:p w14:paraId="4713D146">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造成环境污染或者细菌的交叉感染</w:t>
            </w:r>
          </w:p>
        </w:tc>
      </w:tr>
      <w:tr w14:paraId="41203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9" w:type="dxa"/>
            <w:vMerge w:val="restart"/>
            <w:vAlign w:val="center"/>
          </w:tcPr>
          <w:p w14:paraId="376D6DE5">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与医疗器械使用有关的危险（源）</w:t>
            </w:r>
          </w:p>
        </w:tc>
        <w:tc>
          <w:tcPr>
            <w:tcW w:w="2050" w:type="dxa"/>
            <w:vAlign w:val="center"/>
          </w:tcPr>
          <w:p w14:paraId="50D6423F">
            <w:pPr>
              <w:spacing w:line="440" w:lineRule="exact"/>
              <w:rPr>
                <w:rFonts w:ascii="仿宋" w:hAnsi="仿宋" w:eastAsia="仿宋"/>
                <w:color w:val="000000" w:themeColor="text1"/>
                <w:sz w:val="28"/>
                <w:szCs w:val="28"/>
              </w:rPr>
            </w:pPr>
          </w:p>
          <w:p w14:paraId="1FE72A49">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不适当的标记</w:t>
            </w:r>
          </w:p>
          <w:p w14:paraId="7BC80B46">
            <w:pPr>
              <w:spacing w:line="440" w:lineRule="exact"/>
              <w:rPr>
                <w:rFonts w:ascii="仿宋" w:hAnsi="仿宋" w:eastAsia="仿宋"/>
                <w:color w:val="000000" w:themeColor="text1"/>
                <w:sz w:val="28"/>
                <w:szCs w:val="28"/>
              </w:rPr>
            </w:pPr>
          </w:p>
        </w:tc>
        <w:tc>
          <w:tcPr>
            <w:tcW w:w="2976" w:type="dxa"/>
            <w:vAlign w:val="center"/>
          </w:tcPr>
          <w:p w14:paraId="7356E947">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标记不清晰、错误、</w:t>
            </w:r>
          </w:p>
          <w:p w14:paraId="05E5BCD8">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没有按照要求进行标记</w:t>
            </w:r>
          </w:p>
        </w:tc>
        <w:tc>
          <w:tcPr>
            <w:tcW w:w="3119" w:type="dxa"/>
            <w:vAlign w:val="center"/>
          </w:tcPr>
          <w:p w14:paraId="7767B45A">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错误使用</w:t>
            </w:r>
          </w:p>
          <w:p w14:paraId="3675008B">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储存错误</w:t>
            </w:r>
          </w:p>
          <w:p w14:paraId="2AC532BD">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产品辨别错误</w:t>
            </w:r>
          </w:p>
        </w:tc>
      </w:tr>
      <w:tr w14:paraId="2D902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9" w:type="dxa"/>
            <w:vMerge w:val="continue"/>
            <w:vAlign w:val="center"/>
          </w:tcPr>
          <w:p w14:paraId="21E43FCB">
            <w:pPr>
              <w:spacing w:line="440" w:lineRule="exact"/>
              <w:rPr>
                <w:rFonts w:ascii="仿宋" w:hAnsi="仿宋" w:eastAsia="仿宋"/>
                <w:color w:val="000000" w:themeColor="text1"/>
                <w:sz w:val="28"/>
                <w:szCs w:val="28"/>
              </w:rPr>
            </w:pPr>
          </w:p>
        </w:tc>
        <w:tc>
          <w:tcPr>
            <w:tcW w:w="2050" w:type="dxa"/>
            <w:vAlign w:val="center"/>
          </w:tcPr>
          <w:p w14:paraId="7C3799B7">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操作不熟练</w:t>
            </w:r>
          </w:p>
        </w:tc>
        <w:tc>
          <w:tcPr>
            <w:tcW w:w="2976" w:type="dxa"/>
            <w:vAlign w:val="center"/>
          </w:tcPr>
          <w:p w14:paraId="5AAE8A6C">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由不熟练/未经培训的人员使用；操作不熟练、操作失误。</w:t>
            </w:r>
          </w:p>
        </w:tc>
        <w:tc>
          <w:tcPr>
            <w:tcW w:w="3119" w:type="dxa"/>
            <w:vAlign w:val="center"/>
          </w:tcPr>
          <w:p w14:paraId="04D898D9">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造成自然腔道损伤、穿孔</w:t>
            </w:r>
          </w:p>
        </w:tc>
      </w:tr>
      <w:tr w14:paraId="5244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9" w:type="dxa"/>
            <w:vMerge w:val="continue"/>
            <w:vAlign w:val="center"/>
          </w:tcPr>
          <w:p w14:paraId="40390B82">
            <w:pPr>
              <w:spacing w:line="440" w:lineRule="exact"/>
              <w:rPr>
                <w:rFonts w:ascii="仿宋" w:hAnsi="仿宋" w:eastAsia="仿宋"/>
                <w:color w:val="000000" w:themeColor="text1"/>
                <w:sz w:val="28"/>
                <w:szCs w:val="28"/>
              </w:rPr>
            </w:pPr>
          </w:p>
        </w:tc>
        <w:tc>
          <w:tcPr>
            <w:tcW w:w="2050" w:type="dxa"/>
            <w:vAlign w:val="center"/>
          </w:tcPr>
          <w:p w14:paraId="563C9360">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不适当的操作说明，如：</w:t>
            </w:r>
          </w:p>
          <w:p w14:paraId="2D71EB52">
            <w:pPr>
              <w:spacing w:line="440" w:lineRule="exact"/>
              <w:rPr>
                <w:rFonts w:ascii="仿宋" w:hAnsi="仿宋" w:eastAsia="仿宋"/>
                <w:color w:val="000000" w:themeColor="text1"/>
                <w:spacing w:val="-10"/>
                <w:sz w:val="28"/>
                <w:szCs w:val="28"/>
              </w:rPr>
            </w:pPr>
            <w:r>
              <w:rPr>
                <w:rFonts w:hint="eastAsia" w:ascii="仿宋" w:hAnsi="仿宋" w:eastAsia="仿宋"/>
                <w:color w:val="000000" w:themeColor="text1"/>
                <w:sz w:val="28"/>
                <w:szCs w:val="28"/>
              </w:rPr>
              <w:t>(1)</w:t>
            </w:r>
            <w:r>
              <w:rPr>
                <w:rFonts w:hint="eastAsia" w:ascii="仿宋" w:hAnsi="仿宋" w:eastAsia="仿宋"/>
                <w:color w:val="000000" w:themeColor="text1"/>
                <w:spacing w:val="-10"/>
                <w:sz w:val="28"/>
                <w:szCs w:val="28"/>
              </w:rPr>
              <w:t>和医疗器械一起使用的附件规范不适当；</w:t>
            </w:r>
          </w:p>
          <w:p w14:paraId="5558D419">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(2)预先检查规范不适当</w:t>
            </w:r>
          </w:p>
        </w:tc>
        <w:tc>
          <w:tcPr>
            <w:tcW w:w="2976" w:type="dxa"/>
            <w:vAlign w:val="center"/>
          </w:tcPr>
          <w:p w14:paraId="55CF4886">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操作不规范</w:t>
            </w:r>
          </w:p>
          <w:p w14:paraId="05DF30C9">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包装破损无法识别</w:t>
            </w:r>
          </w:p>
          <w:p w14:paraId="610D11CA">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操作要点不突出</w:t>
            </w:r>
          </w:p>
        </w:tc>
        <w:tc>
          <w:tcPr>
            <w:tcW w:w="3119" w:type="dxa"/>
            <w:vAlign w:val="center"/>
          </w:tcPr>
          <w:p w14:paraId="1E9A444B">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无法保证使用安全性，如导丝破裂、脱落、体内残留</w:t>
            </w:r>
          </w:p>
        </w:tc>
      </w:tr>
      <w:tr w14:paraId="332D5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9" w:type="dxa"/>
            <w:vMerge w:val="continue"/>
            <w:vAlign w:val="center"/>
          </w:tcPr>
          <w:p w14:paraId="268A8BA4">
            <w:pPr>
              <w:spacing w:line="440" w:lineRule="exact"/>
              <w:rPr>
                <w:rFonts w:ascii="仿宋" w:hAnsi="仿宋" w:eastAsia="仿宋"/>
                <w:color w:val="000000" w:themeColor="text1"/>
                <w:sz w:val="28"/>
                <w:szCs w:val="28"/>
              </w:rPr>
            </w:pPr>
          </w:p>
        </w:tc>
        <w:tc>
          <w:tcPr>
            <w:tcW w:w="2050" w:type="dxa"/>
            <w:vAlign w:val="center"/>
          </w:tcPr>
          <w:p w14:paraId="3276C4A3">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对副作用的警告不充分</w:t>
            </w:r>
          </w:p>
        </w:tc>
        <w:tc>
          <w:tcPr>
            <w:tcW w:w="2976" w:type="dxa"/>
            <w:vAlign w:val="center"/>
          </w:tcPr>
          <w:p w14:paraId="7A82C5B0">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对操作人员警示不足</w:t>
            </w:r>
          </w:p>
        </w:tc>
        <w:tc>
          <w:tcPr>
            <w:tcW w:w="3119" w:type="dxa"/>
            <w:vAlign w:val="center"/>
          </w:tcPr>
          <w:p w14:paraId="3C9274F2">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重复使用</w:t>
            </w:r>
          </w:p>
          <w:p w14:paraId="49B447DE">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二次灭菌</w:t>
            </w:r>
          </w:p>
          <w:p w14:paraId="7D623DBA">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使用者出现过敏、刺激反应</w:t>
            </w:r>
          </w:p>
        </w:tc>
      </w:tr>
      <w:tr w14:paraId="23A8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9" w:type="dxa"/>
            <w:vMerge w:val="continue"/>
            <w:vAlign w:val="center"/>
          </w:tcPr>
          <w:p w14:paraId="2753C9BD">
            <w:pPr>
              <w:spacing w:line="440" w:lineRule="exact"/>
              <w:rPr>
                <w:rFonts w:ascii="仿宋" w:hAnsi="仿宋" w:eastAsia="仿宋"/>
                <w:color w:val="000000" w:themeColor="text1"/>
                <w:sz w:val="28"/>
                <w:szCs w:val="28"/>
              </w:rPr>
            </w:pPr>
          </w:p>
        </w:tc>
        <w:tc>
          <w:tcPr>
            <w:tcW w:w="2050" w:type="dxa"/>
            <w:vAlign w:val="center"/>
          </w:tcPr>
          <w:p w14:paraId="66251258">
            <w:pPr>
              <w:spacing w:line="440" w:lineRule="exact"/>
              <w:rPr>
                <w:rFonts w:ascii="仿宋" w:hAnsi="仿宋" w:eastAsia="仿宋"/>
                <w:color w:val="000000" w:themeColor="text1"/>
                <w:spacing w:val="-14"/>
                <w:sz w:val="28"/>
                <w:szCs w:val="28"/>
              </w:rPr>
            </w:pPr>
            <w:r>
              <w:rPr>
                <w:rFonts w:hint="eastAsia" w:ascii="仿宋" w:hAnsi="仿宋" w:eastAsia="仿宋"/>
                <w:color w:val="000000" w:themeColor="text1"/>
                <w:spacing w:val="-14"/>
                <w:sz w:val="28"/>
                <w:szCs w:val="28"/>
              </w:rPr>
              <w:t>对一次性使用医疗器械很可能再次使用的危害警告不适当</w:t>
            </w:r>
          </w:p>
        </w:tc>
        <w:tc>
          <w:tcPr>
            <w:tcW w:w="2976" w:type="dxa"/>
            <w:vAlign w:val="center"/>
          </w:tcPr>
          <w:p w14:paraId="31238475">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造成重复使用</w:t>
            </w:r>
          </w:p>
        </w:tc>
        <w:tc>
          <w:tcPr>
            <w:tcW w:w="3119" w:type="dxa"/>
            <w:vAlign w:val="center"/>
          </w:tcPr>
          <w:p w14:paraId="12147B98">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交叉感染</w:t>
            </w:r>
          </w:p>
          <w:p w14:paraId="3487199F">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破损、断裂</w:t>
            </w:r>
          </w:p>
        </w:tc>
      </w:tr>
      <w:tr w14:paraId="4406D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9" w:type="dxa"/>
            <w:vMerge w:val="restart"/>
            <w:vAlign w:val="center"/>
          </w:tcPr>
          <w:p w14:paraId="344241A1">
            <w:pPr>
              <w:spacing w:line="440" w:lineRule="exact"/>
              <w:jc w:val="left"/>
              <w:rPr>
                <w:rFonts w:ascii="仿宋" w:hAnsi="仿宋" w:eastAsia="仿宋"/>
                <w:color w:val="000000" w:themeColor="text1"/>
                <w:sz w:val="28"/>
                <w:szCs w:val="28"/>
              </w:rPr>
            </w:pPr>
            <w:r>
              <w:rPr>
                <w:rFonts w:hint="eastAsia" w:ascii="仿宋" w:hAnsi="仿宋" w:eastAsia="仿宋"/>
                <w:color w:val="000000" w:themeColor="text1"/>
                <w:sz w:val="28"/>
                <w:szCs w:val="28"/>
              </w:rPr>
              <w:t>功能性失效、维修和老化引起的危险（源）</w:t>
            </w:r>
          </w:p>
        </w:tc>
        <w:tc>
          <w:tcPr>
            <w:tcW w:w="2050" w:type="dxa"/>
            <w:vAlign w:val="center"/>
          </w:tcPr>
          <w:p w14:paraId="773A1717">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对医疗器械寿命终止缺少适当的决定</w:t>
            </w:r>
          </w:p>
        </w:tc>
        <w:tc>
          <w:tcPr>
            <w:tcW w:w="2976" w:type="dxa"/>
            <w:vAlign w:val="center"/>
          </w:tcPr>
          <w:p w14:paraId="12F4837A">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没有标识产品有效期</w:t>
            </w:r>
          </w:p>
        </w:tc>
        <w:tc>
          <w:tcPr>
            <w:tcW w:w="3119" w:type="dxa"/>
            <w:vAlign w:val="center"/>
          </w:tcPr>
          <w:p w14:paraId="01040960">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超出有效期的产品被使用，造成细菌感染或因材料老化产生而导致产品性能不符合要求</w:t>
            </w:r>
          </w:p>
        </w:tc>
      </w:tr>
      <w:tr w14:paraId="4453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9" w:type="dxa"/>
            <w:vMerge w:val="continue"/>
            <w:vAlign w:val="center"/>
          </w:tcPr>
          <w:p w14:paraId="25ED5D61">
            <w:pPr>
              <w:spacing w:line="440" w:lineRule="exact"/>
              <w:jc w:val="left"/>
              <w:rPr>
                <w:rFonts w:ascii="仿宋" w:hAnsi="仿宋" w:eastAsia="仿宋"/>
                <w:color w:val="000000" w:themeColor="text1"/>
                <w:sz w:val="28"/>
                <w:szCs w:val="28"/>
              </w:rPr>
            </w:pPr>
          </w:p>
        </w:tc>
        <w:tc>
          <w:tcPr>
            <w:tcW w:w="2050" w:type="dxa"/>
            <w:vAlign w:val="center"/>
          </w:tcPr>
          <w:p w14:paraId="4FAAE886">
            <w:pPr>
              <w:spacing w:line="440" w:lineRule="exact"/>
              <w:jc w:val="left"/>
              <w:textAlignment w:val="baseline"/>
              <w:rPr>
                <w:rFonts w:ascii="仿宋" w:hAnsi="仿宋" w:eastAsia="仿宋"/>
                <w:color w:val="000000" w:themeColor="text1"/>
                <w:sz w:val="28"/>
                <w:szCs w:val="28"/>
              </w:rPr>
            </w:pPr>
            <w:r>
              <w:rPr>
                <w:rFonts w:hint="eastAsia" w:ascii="仿宋" w:hAnsi="仿宋" w:eastAsia="仿宋"/>
                <w:color w:val="000000" w:themeColor="text1"/>
                <w:sz w:val="28"/>
                <w:szCs w:val="28"/>
              </w:rPr>
              <w:t>失去产品的完整性</w:t>
            </w:r>
          </w:p>
        </w:tc>
        <w:tc>
          <w:tcPr>
            <w:tcW w:w="2976" w:type="dxa"/>
            <w:vAlign w:val="center"/>
          </w:tcPr>
          <w:p w14:paraId="2429204A">
            <w:pPr>
              <w:spacing w:line="440" w:lineRule="exact"/>
              <w:textAlignment w:val="baseline"/>
              <w:rPr>
                <w:rFonts w:ascii="仿宋" w:hAnsi="仿宋" w:eastAsia="仿宋"/>
                <w:color w:val="000000" w:themeColor="text1"/>
                <w:sz w:val="28"/>
                <w:szCs w:val="28"/>
              </w:rPr>
            </w:pPr>
            <w:r>
              <w:rPr>
                <w:rFonts w:hint="eastAsia" w:ascii="仿宋" w:hAnsi="仿宋" w:eastAsia="仿宋"/>
                <w:color w:val="000000" w:themeColor="text1"/>
                <w:sz w:val="28"/>
                <w:szCs w:val="28"/>
              </w:rPr>
              <w:t>产品包装破损达不到隔离要求</w:t>
            </w:r>
          </w:p>
        </w:tc>
        <w:tc>
          <w:tcPr>
            <w:tcW w:w="3119" w:type="dxa"/>
            <w:vAlign w:val="center"/>
          </w:tcPr>
          <w:p w14:paraId="48F5345F">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无法保证使用安全性</w:t>
            </w:r>
          </w:p>
        </w:tc>
      </w:tr>
      <w:tr w14:paraId="0CDA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9" w:type="dxa"/>
            <w:vMerge w:val="continue"/>
            <w:vAlign w:val="center"/>
          </w:tcPr>
          <w:p w14:paraId="6DC6ED54">
            <w:pPr>
              <w:spacing w:line="440" w:lineRule="exact"/>
              <w:rPr>
                <w:rFonts w:ascii="仿宋" w:hAnsi="仿宋" w:eastAsia="仿宋"/>
                <w:color w:val="000000" w:themeColor="text1"/>
                <w:sz w:val="28"/>
                <w:szCs w:val="28"/>
              </w:rPr>
            </w:pPr>
          </w:p>
        </w:tc>
        <w:tc>
          <w:tcPr>
            <w:tcW w:w="2050" w:type="dxa"/>
            <w:vAlign w:val="center"/>
          </w:tcPr>
          <w:p w14:paraId="26BC3A1D">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不适当的包装（医疗器械的污染和/或变质）</w:t>
            </w:r>
          </w:p>
        </w:tc>
        <w:tc>
          <w:tcPr>
            <w:tcW w:w="2976" w:type="dxa"/>
            <w:vAlign w:val="center"/>
          </w:tcPr>
          <w:p w14:paraId="133C132D">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没有进行包装确认</w:t>
            </w:r>
          </w:p>
        </w:tc>
        <w:tc>
          <w:tcPr>
            <w:tcW w:w="3119" w:type="dxa"/>
            <w:vAlign w:val="center"/>
          </w:tcPr>
          <w:p w14:paraId="37B90C59">
            <w:pPr>
              <w:spacing w:line="440" w:lineRule="exact"/>
              <w:rPr>
                <w:rFonts w:ascii="仿宋" w:hAnsi="仿宋" w:eastAsia="仿宋"/>
                <w:color w:val="000000" w:themeColor="text1"/>
                <w:sz w:val="28"/>
                <w:szCs w:val="28"/>
              </w:rPr>
            </w:pPr>
            <w:r>
              <w:rPr>
                <w:rFonts w:hint="eastAsia" w:ascii="仿宋" w:hAnsi="仿宋" w:eastAsia="仿宋"/>
                <w:color w:val="000000" w:themeColor="text1"/>
                <w:sz w:val="28"/>
                <w:szCs w:val="28"/>
              </w:rPr>
              <w:t>不能确保产品无菌，从而导致出现细菌感染</w:t>
            </w:r>
          </w:p>
        </w:tc>
      </w:tr>
    </w:tbl>
    <w:p w14:paraId="312CDFB7">
      <w:pPr>
        <w:spacing w:line="520" w:lineRule="exact"/>
        <w:ind w:firstLine="640" w:firstLineChars="200"/>
        <w:rPr>
          <w:rFonts w:ascii="楷体_GB2312" w:hAnsi="楷体" w:eastAsia="楷体_GB2312"/>
          <w:color w:val="000000" w:themeColor="text1"/>
          <w:sz w:val="32"/>
          <w:szCs w:val="32"/>
        </w:rPr>
      </w:pPr>
      <w:bookmarkStart w:id="4" w:name="_Toc476683310"/>
      <w:r>
        <w:rPr>
          <w:rFonts w:hint="eastAsia" w:ascii="楷体_GB2312" w:hAnsi="楷体" w:eastAsia="楷体_GB2312"/>
          <w:color w:val="000000" w:themeColor="text1"/>
          <w:sz w:val="32"/>
          <w:szCs w:val="32"/>
        </w:rPr>
        <w:t>（八）产品技术要求的主要性能指标</w:t>
      </w:r>
    </w:p>
    <w:bookmarkEnd w:id="4"/>
    <w:p w14:paraId="782DEF40">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本条款给出导丝产品需要满足的性能要求，其他性能要求企业可参考相应的国家标准、行业标准，根据企业自身产品的技术特点制定相应的要求，但不得低于相关国家标准、行业标准的有关要求。如有不适用条款（包括国家标准、行业标准要求），企业应说明理由。</w:t>
      </w:r>
    </w:p>
    <w:p w14:paraId="76EE5E56">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企业编制产品技术要求时应明确规格型号的划分、产品的结构组成等内容，常见的导丝通用技术指标应有以下几点（包括但不限于此）：</w:t>
      </w:r>
    </w:p>
    <w:p w14:paraId="53D71F16">
      <w:pPr>
        <w:numPr>
          <w:ilvl w:val="0"/>
          <w:numId w:val="4"/>
        </w:numPr>
        <w:spacing w:line="560" w:lineRule="exact"/>
        <w:ind w:left="0"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、外观：应清洁、无异物，不应有表面缺陷和加工缺陷；导丝头端应圆钝等。</w:t>
      </w:r>
    </w:p>
    <w:p w14:paraId="273763D1">
      <w:pPr>
        <w:numPr>
          <w:ilvl w:val="0"/>
          <w:numId w:val="4"/>
        </w:numPr>
        <w:spacing w:line="560" w:lineRule="exact"/>
        <w:ind w:left="0"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、尺寸：应明确关键尺寸项，如外径、长度等；应给出产品的示意图。</w:t>
      </w:r>
    </w:p>
    <w:p w14:paraId="64D4F251">
      <w:pPr>
        <w:numPr>
          <w:ilvl w:val="0"/>
          <w:numId w:val="4"/>
        </w:numPr>
        <w:spacing w:line="560" w:lineRule="exact"/>
        <w:ind w:left="0"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、导丝峰值拉力：应对导丝上会导致失效的关键连接处参考YY 0450.1-2020中8.6项制定导丝峰值拉力。</w:t>
      </w:r>
    </w:p>
    <w:p w14:paraId="7E1E3F1D">
      <w:pPr>
        <w:numPr>
          <w:ilvl w:val="0"/>
          <w:numId w:val="4"/>
        </w:numPr>
        <w:spacing w:line="560" w:lineRule="exact"/>
        <w:ind w:left="0"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w:t>
      </w:r>
      <w:bookmarkStart w:id="5" w:name="OLE_LINK7"/>
      <w:r>
        <w:rPr>
          <w:rFonts w:hint="eastAsia" w:ascii="仿宋" w:hAnsi="仿宋" w:eastAsia="仿宋"/>
          <w:color w:val="000000" w:themeColor="text1"/>
          <w:sz w:val="32"/>
          <w:szCs w:val="32"/>
        </w:rPr>
        <w:t>破裂试验</w:t>
      </w:r>
      <w:bookmarkEnd w:id="5"/>
      <w:r>
        <w:rPr>
          <w:rFonts w:hint="eastAsia" w:ascii="仿宋" w:hAnsi="仿宋" w:eastAsia="仿宋"/>
          <w:color w:val="000000" w:themeColor="text1"/>
          <w:sz w:val="32"/>
          <w:szCs w:val="32"/>
        </w:rPr>
        <w:t>（可参考YY 0450.1-2020）。</w:t>
      </w:r>
    </w:p>
    <w:p w14:paraId="0EAC6FE6">
      <w:pPr>
        <w:spacing w:line="560" w:lineRule="exact"/>
        <w:ind w:left="640"/>
        <w:rPr>
          <w:rFonts w:ascii="仿宋" w:hAnsi="仿宋" w:eastAsia="仿宋"/>
          <w:color w:val="000000" w:themeColor="text1"/>
          <w:sz w:val="32"/>
          <w:szCs w:val="32"/>
        </w:rPr>
      </w:pPr>
      <w:r>
        <w:rPr>
          <w:rFonts w:hint="eastAsia" w:ascii="仿宋" w:hAnsi="仿宋" w:eastAsia="仿宋"/>
          <w:color w:val="000000" w:themeColor="text1"/>
          <w:sz w:val="32"/>
          <w:szCs w:val="32"/>
        </w:rPr>
        <w:t>注：</w:t>
      </w:r>
      <w:bookmarkStart w:id="6" w:name="OLE_LINK4"/>
      <w:bookmarkStart w:id="7" w:name="OLE_LINK3"/>
      <w:r>
        <w:rPr>
          <w:rFonts w:hint="eastAsia" w:ascii="仿宋" w:hAnsi="仿宋" w:eastAsia="仿宋"/>
          <w:color w:val="000000" w:themeColor="text1"/>
          <w:sz w:val="32"/>
          <w:szCs w:val="32"/>
        </w:rPr>
        <w:t>对于超硬导</w:t>
      </w:r>
      <w:bookmarkStart w:id="8" w:name="OLE_LINK8"/>
      <w:bookmarkStart w:id="9" w:name="OLE_LINK9"/>
      <w:r>
        <w:rPr>
          <w:rFonts w:hint="eastAsia" w:ascii="仿宋" w:hAnsi="仿宋" w:eastAsia="仿宋"/>
          <w:color w:val="000000" w:themeColor="text1"/>
          <w:sz w:val="32"/>
          <w:szCs w:val="32"/>
        </w:rPr>
        <w:t>丝（如仅用于经皮肾镜手术中的J型导丝）</w:t>
      </w:r>
      <w:bookmarkEnd w:id="8"/>
      <w:bookmarkEnd w:id="9"/>
      <w:r>
        <w:rPr>
          <w:rFonts w:ascii="仿宋" w:hAnsi="仿宋" w:eastAsia="仿宋"/>
          <w:color w:val="000000" w:themeColor="text1"/>
          <w:sz w:val="32"/>
          <w:szCs w:val="32"/>
        </w:rPr>
        <w:t>，</w:t>
      </w:r>
      <w:bookmarkEnd w:id="6"/>
      <w:bookmarkEnd w:id="7"/>
      <w:r>
        <w:rPr>
          <w:rFonts w:hint="eastAsia" w:ascii="仿宋" w:hAnsi="仿宋" w:eastAsia="仿宋"/>
          <w:color w:val="000000" w:themeColor="text1"/>
          <w:sz w:val="32"/>
          <w:szCs w:val="32"/>
        </w:rPr>
        <w:t>使用者</w:t>
      </w:r>
      <w:r>
        <w:rPr>
          <w:rFonts w:ascii="仿宋" w:hAnsi="仿宋" w:eastAsia="仿宋"/>
          <w:color w:val="000000" w:themeColor="text1"/>
          <w:sz w:val="32"/>
          <w:szCs w:val="32"/>
        </w:rPr>
        <w:t>端</w:t>
      </w:r>
      <w:r>
        <w:rPr>
          <w:rFonts w:hint="eastAsia" w:ascii="仿宋" w:hAnsi="仿宋" w:eastAsia="仿宋"/>
          <w:color w:val="000000" w:themeColor="text1"/>
          <w:sz w:val="32"/>
          <w:szCs w:val="32"/>
        </w:rPr>
        <w:t>支撑性</w:t>
      </w:r>
      <w:r>
        <w:rPr>
          <w:rFonts w:ascii="仿宋" w:hAnsi="仿宋" w:eastAsia="仿宋"/>
          <w:color w:val="000000" w:themeColor="text1"/>
          <w:sz w:val="32"/>
          <w:szCs w:val="32"/>
        </w:rPr>
        <w:t>较强，</w:t>
      </w:r>
      <w:bookmarkStart w:id="10" w:name="OLE_LINK6"/>
      <w:bookmarkStart w:id="11" w:name="OLE_LINK5"/>
      <w:r>
        <w:rPr>
          <w:rFonts w:hint="eastAsia" w:ascii="仿宋" w:hAnsi="仿宋" w:eastAsia="仿宋"/>
          <w:color w:val="000000" w:themeColor="text1"/>
          <w:sz w:val="32"/>
          <w:szCs w:val="32"/>
        </w:rPr>
        <w:t>该项可不</w:t>
      </w:r>
      <w:bookmarkEnd w:id="10"/>
      <w:bookmarkEnd w:id="11"/>
      <w:r>
        <w:rPr>
          <w:rFonts w:ascii="仿宋" w:hAnsi="仿宋" w:eastAsia="仿宋"/>
          <w:color w:val="000000" w:themeColor="text1"/>
          <w:sz w:val="32"/>
          <w:szCs w:val="32"/>
        </w:rPr>
        <w:t>适用。</w:t>
      </w:r>
    </w:p>
    <w:p w14:paraId="053A8014">
      <w:pPr>
        <w:numPr>
          <w:ilvl w:val="0"/>
          <w:numId w:val="4"/>
        </w:numPr>
        <w:spacing w:line="560" w:lineRule="exact"/>
        <w:ind w:left="0"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、弯曲试验（可参考YY 0450.1-2020）。</w:t>
      </w:r>
    </w:p>
    <w:p w14:paraId="61F995A1">
      <w:pPr>
        <w:spacing w:line="560" w:lineRule="exact"/>
        <w:ind w:left="640" w:firstLine="480" w:firstLineChars="150"/>
        <w:rPr>
          <w:rFonts w:ascii="仿宋_GB2312" w:hAnsi="Times New Roman" w:eastAsia="仿宋_GB2312" w:cs="Times New Roman"/>
          <w:color w:val="000000" w:themeColor="text1"/>
          <w:sz w:val="32"/>
          <w:szCs w:val="20"/>
        </w:rPr>
      </w:pPr>
      <w:r>
        <w:rPr>
          <w:rFonts w:hint="eastAsia" w:ascii="仿宋" w:hAnsi="仿宋" w:eastAsia="仿宋"/>
          <w:color w:val="000000" w:themeColor="text1"/>
          <w:sz w:val="32"/>
          <w:szCs w:val="32"/>
        </w:rPr>
        <w:t>注：对于硬质导丝（如仅用于经皮肾镜手术中的J型导丝）</w:t>
      </w:r>
      <w:r>
        <w:rPr>
          <w:rFonts w:ascii="仿宋" w:hAnsi="仿宋" w:eastAsia="仿宋"/>
          <w:color w:val="000000" w:themeColor="text1"/>
          <w:sz w:val="32"/>
          <w:szCs w:val="32"/>
        </w:rPr>
        <w:t>，</w:t>
      </w:r>
      <w:r>
        <w:rPr>
          <w:rFonts w:hint="eastAsia" w:ascii="仿宋" w:hAnsi="仿宋" w:eastAsia="仿宋"/>
          <w:color w:val="000000" w:themeColor="text1"/>
          <w:sz w:val="32"/>
          <w:szCs w:val="32"/>
        </w:rPr>
        <w:t>使用者</w:t>
      </w:r>
      <w:r>
        <w:rPr>
          <w:rFonts w:ascii="仿宋" w:hAnsi="仿宋" w:eastAsia="仿宋"/>
          <w:color w:val="000000" w:themeColor="text1"/>
          <w:sz w:val="32"/>
          <w:szCs w:val="32"/>
        </w:rPr>
        <w:t>端</w:t>
      </w:r>
      <w:r>
        <w:rPr>
          <w:rFonts w:hint="eastAsia" w:ascii="仿宋" w:hAnsi="仿宋" w:eastAsia="仿宋"/>
          <w:color w:val="000000" w:themeColor="text1"/>
          <w:sz w:val="32"/>
          <w:szCs w:val="32"/>
        </w:rPr>
        <w:t>支撑性</w:t>
      </w:r>
      <w:r>
        <w:rPr>
          <w:rFonts w:ascii="仿宋" w:hAnsi="仿宋" w:eastAsia="仿宋"/>
          <w:color w:val="000000" w:themeColor="text1"/>
          <w:sz w:val="32"/>
          <w:szCs w:val="32"/>
        </w:rPr>
        <w:t>较强，</w:t>
      </w:r>
      <w:r>
        <w:rPr>
          <w:rFonts w:hint="eastAsia" w:ascii="仿宋" w:hAnsi="仿宋" w:eastAsia="仿宋"/>
          <w:color w:val="000000" w:themeColor="text1"/>
          <w:sz w:val="32"/>
          <w:szCs w:val="32"/>
        </w:rPr>
        <w:t>该项可不</w:t>
      </w:r>
      <w:r>
        <w:rPr>
          <w:rFonts w:ascii="仿宋" w:hAnsi="仿宋" w:eastAsia="仿宋"/>
          <w:color w:val="000000" w:themeColor="text1"/>
          <w:sz w:val="32"/>
          <w:szCs w:val="32"/>
        </w:rPr>
        <w:t>适用。</w:t>
      </w:r>
    </w:p>
    <w:p w14:paraId="2822AB24">
      <w:pPr>
        <w:spacing w:line="560" w:lineRule="exact"/>
        <w:ind w:left="640" w:firstLine="480" w:firstLineChars="150"/>
        <w:rPr>
          <w:rFonts w:ascii="仿宋" w:hAnsi="仿宋" w:eastAsia="仿宋"/>
          <w:color w:val="000000" w:themeColor="text1"/>
          <w:sz w:val="32"/>
          <w:szCs w:val="32"/>
        </w:rPr>
      </w:pPr>
      <w:r>
        <w:rPr>
          <w:rFonts w:hint="eastAsia" w:ascii="仿宋_GB2312" w:hAnsi="Times New Roman" w:eastAsia="仿宋_GB2312" w:cs="Times New Roman"/>
          <w:color w:val="000000" w:themeColor="text1"/>
          <w:sz w:val="32"/>
          <w:szCs w:val="20"/>
        </w:rPr>
        <w:t>对于硬质导丝（如仅用于经皮肾镜手术中的J型导丝），应补充刚性指标的要求。如：</w:t>
      </w:r>
      <w:r>
        <w:rPr>
          <w:rFonts w:ascii="仿宋_GB2312" w:hAnsi="Times New Roman" w:eastAsia="仿宋_GB2312" w:cs="Times New Roman"/>
          <w:color w:val="000000" w:themeColor="text1"/>
          <w:sz w:val="32"/>
          <w:szCs w:val="20"/>
        </w:rPr>
        <w:t>导丝</w:t>
      </w:r>
      <w:r>
        <w:rPr>
          <w:rFonts w:hint="eastAsia" w:ascii="仿宋_GB2312" w:hAnsi="Times New Roman" w:eastAsia="仿宋_GB2312" w:cs="Times New Roman"/>
          <w:color w:val="000000" w:themeColor="text1"/>
          <w:sz w:val="32"/>
          <w:szCs w:val="20"/>
        </w:rPr>
        <w:t>空载挠度应小于</w:t>
      </w:r>
      <w:r>
        <w:rPr>
          <w:rFonts w:ascii="仿宋_GB2312" w:hAnsi="Times New Roman" w:eastAsia="仿宋_GB2312" w:cs="Times New Roman"/>
          <w:color w:val="000000" w:themeColor="text1"/>
          <w:sz w:val="32"/>
          <w:szCs w:val="20"/>
        </w:rPr>
        <w:t>35</w:t>
      </w:r>
      <w:r>
        <w:rPr>
          <w:rFonts w:hint="eastAsia" w:ascii="仿宋_GB2312" w:hAnsi="Times New Roman" w:eastAsia="仿宋_GB2312" w:cs="Times New Roman"/>
          <w:color w:val="000000" w:themeColor="text1"/>
          <w:sz w:val="32"/>
          <w:szCs w:val="20"/>
        </w:rPr>
        <w:t>厘米</w:t>
      </w:r>
      <w:r>
        <w:rPr>
          <w:rFonts w:ascii="仿宋_GB2312" w:hAnsi="Times New Roman" w:eastAsia="仿宋_GB2312" w:cs="Times New Roman"/>
          <w:color w:val="000000" w:themeColor="text1"/>
          <w:sz w:val="32"/>
          <w:szCs w:val="20"/>
        </w:rPr>
        <w:t>。</w:t>
      </w:r>
    </w:p>
    <w:p w14:paraId="43BF59BA">
      <w:pPr>
        <w:numPr>
          <w:ilvl w:val="0"/>
          <w:numId w:val="4"/>
        </w:numPr>
        <w:spacing w:line="560" w:lineRule="exact"/>
        <w:ind w:left="0"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、射线可探测性。</w:t>
      </w:r>
    </w:p>
    <w:p w14:paraId="191A790D">
      <w:pPr>
        <w:numPr>
          <w:ilvl w:val="0"/>
          <w:numId w:val="4"/>
        </w:numPr>
        <w:spacing w:line="560" w:lineRule="exact"/>
        <w:ind w:left="0"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、化学性能。</w:t>
      </w:r>
    </w:p>
    <w:p w14:paraId="76CEA294">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根据不同材料特性及工艺条件，决定具体的化学性能研究项目，如酸碱度、紫外吸光度、还原物质、蒸发残渣、重金属含量等，具体指标的选择可以参照相应的国家、行业标准</w:t>
      </w:r>
      <w:r>
        <w:rPr>
          <w:rFonts w:hint="eastAsia" w:ascii="仿宋" w:hAnsi="仿宋" w:eastAsia="仿宋"/>
          <w:bCs/>
          <w:color w:val="000000" w:themeColor="text1"/>
          <w:sz w:val="32"/>
          <w:szCs w:val="32"/>
        </w:rPr>
        <w:t>及已上市同类产品情况</w:t>
      </w:r>
      <w:r>
        <w:rPr>
          <w:rFonts w:hint="eastAsia" w:ascii="仿宋" w:hAnsi="仿宋" w:eastAsia="仿宋"/>
          <w:color w:val="000000" w:themeColor="text1"/>
          <w:sz w:val="32"/>
          <w:szCs w:val="32"/>
        </w:rPr>
        <w:t>。用环氧乙烷灭菌的产品应规定环氧乙烷残留量的要求。</w:t>
      </w:r>
    </w:p>
    <w:p w14:paraId="0317AE9A">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涂覆PVP涂层产品，涂层材料导致还原物质测试结果异常时，建议对不涂覆涂层的产品进行测试，确认其化学性能试验结果是否受到涂层的干扰，同时结合涂层材料的临床应用史及生物相容性数据，综合评价,不需在产品技术要求中制定还原物质要求。</w:t>
      </w:r>
    </w:p>
    <w:p w14:paraId="7B212C24">
      <w:pPr>
        <w:numPr>
          <w:ilvl w:val="0"/>
          <w:numId w:val="4"/>
        </w:numPr>
        <w:spacing w:line="560" w:lineRule="exact"/>
        <w:ind w:left="0" w:firstLine="640" w:firstLineChars="200"/>
        <w:rPr>
          <w:rFonts w:ascii="仿宋" w:hAnsi="仿宋" w:eastAsia="仿宋"/>
          <w:color w:val="000000" w:themeColor="text1"/>
          <w:sz w:val="32"/>
          <w:szCs w:val="32"/>
          <w:highlight w:val="none"/>
        </w:rPr>
      </w:pPr>
      <w:r>
        <w:rPr>
          <w:rFonts w:hint="eastAsia" w:ascii="仿宋" w:hAnsi="仿宋" w:eastAsia="仿宋"/>
          <w:color w:val="000000" w:themeColor="text1"/>
          <w:sz w:val="32"/>
          <w:szCs w:val="32"/>
          <w:highlight w:val="none"/>
        </w:rPr>
        <w:t>、产品应无菌。</w:t>
      </w:r>
      <w:r>
        <w:rPr>
          <w:rFonts w:hint="eastAsia" w:ascii="仿宋" w:hAnsi="仿宋" w:eastAsia="仿宋"/>
          <w:color w:val="000000" w:themeColor="text1"/>
          <w:sz w:val="32"/>
          <w:szCs w:val="32"/>
          <w:highlight w:val="none"/>
          <w:lang w:eastAsia="zh-CN"/>
        </w:rPr>
        <w:t>（</w:t>
      </w:r>
      <w:r>
        <w:rPr>
          <w:rFonts w:hint="eastAsia" w:ascii="仿宋" w:hAnsi="仿宋" w:eastAsia="仿宋"/>
          <w:color w:val="000000" w:themeColor="text1"/>
          <w:sz w:val="32"/>
          <w:szCs w:val="32"/>
          <w:highlight w:val="none"/>
          <w:lang w:val="en-US" w:eastAsia="zh-CN"/>
        </w:rPr>
        <w:t>如适用</w:t>
      </w:r>
      <w:r>
        <w:rPr>
          <w:rFonts w:hint="eastAsia" w:ascii="仿宋" w:hAnsi="仿宋" w:eastAsia="仿宋"/>
          <w:color w:val="000000" w:themeColor="text1"/>
          <w:sz w:val="32"/>
          <w:szCs w:val="32"/>
          <w:highlight w:val="none"/>
          <w:lang w:eastAsia="zh-CN"/>
        </w:rPr>
        <w:t>）</w:t>
      </w:r>
    </w:p>
    <w:p w14:paraId="6901AC33">
      <w:pPr>
        <w:numPr>
          <w:ilvl w:val="0"/>
          <w:numId w:val="4"/>
        </w:numPr>
        <w:spacing w:line="560" w:lineRule="exact"/>
        <w:ind w:left="0"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、对于芯丝中与人体腔道有接触的金属部分，除满足通用要求外，技术指标还应包括：耐腐蚀性。</w:t>
      </w:r>
    </w:p>
    <w:p w14:paraId="472E49FC">
      <w:pPr>
        <w:numPr>
          <w:ilvl w:val="0"/>
          <w:numId w:val="4"/>
        </w:numPr>
        <w:spacing w:line="560" w:lineRule="exact"/>
        <w:ind w:left="0" w:firstLine="640" w:firstLineChars="200"/>
        <w:rPr>
          <w:rFonts w:ascii="仿宋_GB2312" w:hAnsi="仿宋" w:eastAsia="仿宋_GB2312" w:cs="Times New Roman"/>
          <w:color w:val="000000" w:themeColor="text1"/>
          <w:sz w:val="32"/>
          <w:szCs w:val="32"/>
        </w:rPr>
      </w:pPr>
      <w:r>
        <w:rPr>
          <w:rFonts w:hint="eastAsia" w:ascii="仿宋" w:hAnsi="仿宋" w:eastAsia="仿宋"/>
          <w:color w:val="000000" w:themeColor="text1"/>
          <w:sz w:val="32"/>
          <w:szCs w:val="32"/>
        </w:rPr>
        <w:t>、根据产品宣称的技术特点制定的其他性能要求。</w:t>
      </w:r>
    </w:p>
    <w:p w14:paraId="72C99498">
      <w:pPr>
        <w:spacing w:line="520" w:lineRule="exact"/>
        <w:ind w:firstLine="640" w:firstLineChars="200"/>
        <w:rPr>
          <w:rFonts w:ascii="楷体_GB2312" w:hAnsi="楷体" w:eastAsia="楷体_GB2312"/>
          <w:color w:val="000000" w:themeColor="text1"/>
          <w:sz w:val="32"/>
          <w:szCs w:val="32"/>
        </w:rPr>
      </w:pPr>
      <w:r>
        <w:rPr>
          <w:rFonts w:hint="eastAsia" w:ascii="楷体_GB2312" w:hAnsi="楷体" w:eastAsia="楷体_GB2312"/>
          <w:color w:val="000000" w:themeColor="text1"/>
          <w:sz w:val="32"/>
          <w:szCs w:val="32"/>
          <w:highlight w:val="none"/>
        </w:rPr>
        <w:t>（九）同一注册单元内注册检验代表产品确定原则和实例</w:t>
      </w:r>
    </w:p>
    <w:p w14:paraId="1266FEDB">
      <w:pPr>
        <w:spacing w:line="560" w:lineRule="exact"/>
        <w:ind w:firstLine="640" w:firstLineChars="200"/>
        <w:rPr>
          <w:rFonts w:ascii="仿宋" w:hAnsi="仿宋" w:eastAsia="仿宋"/>
          <w:bCs/>
          <w:color w:val="000000" w:themeColor="text1"/>
          <w:sz w:val="32"/>
          <w:szCs w:val="32"/>
        </w:rPr>
      </w:pPr>
      <w:r>
        <w:rPr>
          <w:rFonts w:hint="eastAsia" w:ascii="仿宋" w:hAnsi="仿宋" w:eastAsia="仿宋"/>
          <w:bCs/>
          <w:color w:val="000000" w:themeColor="text1"/>
          <w:sz w:val="32"/>
          <w:szCs w:val="32"/>
        </w:rPr>
        <w:t>若申报的产品包括多个型号，产品检验选取的典型性型号应当能代表本注册单元内其它产品的安全性和有效性，并说明典型性型号选择的依据。组成材料、结构、性能等具有差异的产品，建议分别选取典型性型号，进行差异性检测。</w:t>
      </w:r>
      <w:r>
        <w:rPr>
          <w:rFonts w:hint="eastAsia" w:ascii="仿宋" w:hAnsi="仿宋" w:eastAsia="仿宋"/>
          <w:color w:val="000000" w:themeColor="text1"/>
          <w:sz w:val="32"/>
          <w:szCs w:val="32"/>
        </w:rPr>
        <w:t>例如：</w:t>
      </w:r>
    </w:p>
    <w:p w14:paraId="08EB6136">
      <w:pPr>
        <w:tabs>
          <w:tab w:val="left" w:pos="8040"/>
        </w:tabs>
        <w:spacing w:line="520" w:lineRule="exact"/>
        <w:ind w:firstLine="640" w:firstLineChars="200"/>
        <w:jc w:val="left"/>
        <w:rPr>
          <w:rFonts w:ascii="仿宋" w:hAnsi="仿宋" w:eastAsia="仿宋"/>
          <w:color w:val="000000" w:themeColor="text1"/>
          <w:sz w:val="32"/>
          <w:szCs w:val="32"/>
        </w:rPr>
      </w:pPr>
      <w:r>
        <w:rPr>
          <w:rFonts w:hint="eastAsia" w:ascii="仿宋" w:hAnsi="仿宋" w:eastAsia="仿宋"/>
          <w:color w:val="000000" w:themeColor="text1"/>
          <w:sz w:val="32"/>
          <w:szCs w:val="32"/>
          <w:lang w:val="en-US" w:eastAsia="zh-CN"/>
        </w:rPr>
        <w:t>1</w:t>
      </w:r>
      <w:r>
        <w:rPr>
          <w:rFonts w:hint="eastAsia" w:ascii="仿宋" w:hAnsi="仿宋" w:eastAsia="仿宋"/>
          <w:color w:val="000000" w:themeColor="text1"/>
          <w:sz w:val="32"/>
          <w:szCs w:val="32"/>
        </w:rPr>
        <w:t>.导丝按不同规格划分为不同的型号，应考虑不同规格对检验结果的影响。</w:t>
      </w:r>
    </w:p>
    <w:p w14:paraId="6B24266B">
      <w:pPr>
        <w:tabs>
          <w:tab w:val="left" w:pos="8040"/>
        </w:tabs>
        <w:spacing w:line="520" w:lineRule="exact"/>
        <w:ind w:firstLine="640" w:firstLineChars="200"/>
        <w:jc w:val="left"/>
        <w:rPr>
          <w:rFonts w:ascii="仿宋" w:hAnsi="仿宋" w:eastAsia="仿宋"/>
          <w:color w:val="000000" w:themeColor="text1"/>
          <w:sz w:val="32"/>
          <w:szCs w:val="32"/>
        </w:rPr>
      </w:pPr>
      <w:r>
        <w:rPr>
          <w:rFonts w:hint="eastAsia" w:ascii="仿宋" w:hAnsi="仿宋" w:eastAsia="仿宋"/>
          <w:color w:val="000000" w:themeColor="text1"/>
          <w:sz w:val="32"/>
          <w:szCs w:val="32"/>
          <w:lang w:val="en-US" w:eastAsia="zh-CN"/>
        </w:rPr>
        <w:t>2</w:t>
      </w:r>
      <w:r>
        <w:rPr>
          <w:rFonts w:ascii="仿宋" w:hAnsi="仿宋" w:eastAsia="仿宋"/>
          <w:color w:val="000000" w:themeColor="text1"/>
          <w:sz w:val="32"/>
          <w:szCs w:val="32"/>
        </w:rPr>
        <w:t>.</w:t>
      </w:r>
      <w:r>
        <w:rPr>
          <w:rFonts w:eastAsia="仿宋_GB2312"/>
          <w:color w:val="000000"/>
          <w:sz w:val="32"/>
          <w:szCs w:val="32"/>
          <w:highlight w:val="none"/>
        </w:rPr>
        <w:t>按头端的形状分为：直头导丝、弯头导丝。弯头导丝能代表直头导丝产品的安全性和有效性，能够覆盖直头导丝的产品技术要求，则选择弯头导丝作为典型性样品。</w:t>
      </w:r>
    </w:p>
    <w:p w14:paraId="457C5547">
      <w:pPr>
        <w:tabs>
          <w:tab w:val="left" w:pos="8040"/>
        </w:tabs>
        <w:spacing w:line="520" w:lineRule="exact"/>
        <w:ind w:firstLine="640" w:firstLineChars="200"/>
        <w:jc w:val="left"/>
        <w:rPr>
          <w:rFonts w:ascii="楷体_GB2312" w:hAnsi="仿宋" w:eastAsia="楷体_GB2312"/>
          <w:color w:val="000000" w:themeColor="text1"/>
          <w:sz w:val="32"/>
          <w:szCs w:val="32"/>
        </w:rPr>
      </w:pPr>
      <w:r>
        <w:rPr>
          <w:rFonts w:hint="eastAsia" w:ascii="楷体_GB2312" w:hAnsi="楷体" w:eastAsia="楷体_GB2312"/>
          <w:color w:val="000000" w:themeColor="text1"/>
          <w:sz w:val="32"/>
          <w:szCs w:val="32"/>
        </w:rPr>
        <w:t>（十）产品生产制造相关要求</w:t>
      </w:r>
    </w:p>
    <w:p w14:paraId="0F05C40D">
      <w:pPr>
        <w:tabs>
          <w:tab w:val="left" w:pos="8040"/>
        </w:tabs>
        <w:spacing w:line="520" w:lineRule="exact"/>
        <w:ind w:firstLine="640" w:firstLineChars="200"/>
        <w:jc w:val="left"/>
        <w:rPr>
          <w:rFonts w:ascii="仿宋_GB2312" w:hAnsi="仿宋" w:eastAsia="仿宋_GB2312"/>
          <w:bCs/>
          <w:color w:val="000000" w:themeColor="text1"/>
          <w:sz w:val="32"/>
          <w:szCs w:val="32"/>
        </w:rPr>
      </w:pPr>
      <w:r>
        <w:rPr>
          <w:rFonts w:hint="eastAsia" w:ascii="仿宋_GB2312" w:hAnsi="仿宋" w:eastAsia="仿宋_GB2312"/>
          <w:bCs/>
          <w:color w:val="000000" w:themeColor="text1"/>
          <w:sz w:val="32"/>
          <w:szCs w:val="32"/>
        </w:rPr>
        <w:t>1</w:t>
      </w:r>
      <w:r>
        <w:rPr>
          <w:rFonts w:ascii="仿宋_GB2312" w:hAnsi="仿宋" w:eastAsia="仿宋_GB2312"/>
          <w:bCs/>
          <w:color w:val="000000" w:themeColor="text1"/>
          <w:sz w:val="32"/>
          <w:szCs w:val="32"/>
        </w:rPr>
        <w:t>.</w:t>
      </w:r>
      <w:r>
        <w:rPr>
          <w:rFonts w:hint="eastAsia" w:ascii="仿宋_GB2312" w:hAnsi="仿宋" w:eastAsia="仿宋_GB2312"/>
          <w:bCs/>
          <w:color w:val="000000" w:themeColor="text1"/>
          <w:sz w:val="32"/>
          <w:szCs w:val="32"/>
        </w:rPr>
        <w:t>生产工艺</w:t>
      </w:r>
    </w:p>
    <w:p w14:paraId="23640465">
      <w:pPr>
        <w:tabs>
          <w:tab w:val="left" w:pos="8040"/>
        </w:tabs>
        <w:spacing w:line="520" w:lineRule="exact"/>
        <w:ind w:firstLine="640" w:firstLineChars="200"/>
        <w:jc w:val="left"/>
        <w:rPr>
          <w:rFonts w:ascii="仿宋_GB2312" w:hAnsi="仿宋" w:eastAsia="仿宋_GB2312"/>
          <w:bCs/>
          <w:color w:val="000000" w:themeColor="text1"/>
          <w:sz w:val="32"/>
          <w:szCs w:val="32"/>
        </w:rPr>
      </w:pPr>
      <w:r>
        <w:rPr>
          <w:rFonts w:hint="eastAsia" w:ascii="仿宋_GB2312" w:hAnsi="仿宋" w:eastAsia="仿宋_GB2312"/>
          <w:bCs/>
          <w:color w:val="000000" w:themeColor="text1"/>
          <w:sz w:val="32"/>
          <w:szCs w:val="32"/>
        </w:rPr>
        <w:t>应明确</w:t>
      </w:r>
      <w:r>
        <w:rPr>
          <w:rFonts w:hint="eastAsia" w:ascii="仿宋_GB2312" w:hAnsi="仿宋" w:eastAsia="仿宋_GB2312"/>
          <w:color w:val="000000" w:themeColor="text1"/>
          <w:sz w:val="32"/>
          <w:szCs w:val="32"/>
        </w:rPr>
        <w:t>导丝</w:t>
      </w:r>
      <w:r>
        <w:rPr>
          <w:rFonts w:hint="eastAsia" w:ascii="仿宋_GB2312" w:hAnsi="仿宋" w:eastAsia="仿宋_GB2312"/>
          <w:bCs/>
          <w:color w:val="000000" w:themeColor="text1"/>
          <w:sz w:val="32"/>
          <w:szCs w:val="32"/>
        </w:rPr>
        <w:t>产品生产工艺过程，在工艺流程图注明关键工艺和特殊过程，并说明其过程控制点。明确生产过程中各种加工助剂的使用情况及对杂质（如残留单体、小分子残留物等）的控制情况。</w:t>
      </w:r>
    </w:p>
    <w:p w14:paraId="5FB3E625">
      <w:pPr>
        <w:tabs>
          <w:tab w:val="left" w:pos="8040"/>
        </w:tabs>
        <w:spacing w:line="520" w:lineRule="exact"/>
        <w:ind w:firstLine="640" w:firstLineChars="200"/>
        <w:jc w:val="left"/>
        <w:rPr>
          <w:rFonts w:ascii="仿宋_GB2312" w:hAnsi="仿宋" w:eastAsia="仿宋_GB2312"/>
          <w:color w:val="000000" w:themeColor="text1"/>
          <w:sz w:val="32"/>
          <w:szCs w:val="32"/>
          <w:highlight w:val="none"/>
        </w:rPr>
      </w:pPr>
      <w:r>
        <w:rPr>
          <w:rFonts w:hint="eastAsia" w:ascii="仿宋_GB2312" w:hAnsi="仿宋" w:eastAsia="仿宋_GB2312"/>
          <w:color w:val="000000" w:themeColor="text1"/>
          <w:sz w:val="32"/>
          <w:szCs w:val="32"/>
          <w:highlight w:val="none"/>
        </w:rPr>
        <w:t>2.生产场地</w:t>
      </w:r>
    </w:p>
    <w:p w14:paraId="3253C3FA">
      <w:pPr>
        <w:tabs>
          <w:tab w:val="left" w:pos="8040"/>
        </w:tabs>
        <w:spacing w:line="520" w:lineRule="exact"/>
        <w:ind w:firstLine="640" w:firstLineChars="200"/>
        <w:jc w:val="lef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highlight w:val="none"/>
        </w:rPr>
        <w:t>生产场地的介绍应与生产者资格证明文件和政府批准文件载明事项保持一致。若申报产品具有多个研制、生产场地，应分别说明每个场地的详细情况。</w:t>
      </w:r>
    </w:p>
    <w:p w14:paraId="640E986B">
      <w:pPr>
        <w:tabs>
          <w:tab w:val="left" w:pos="8040"/>
        </w:tabs>
        <w:spacing w:line="520" w:lineRule="exact"/>
        <w:ind w:firstLine="640" w:firstLineChars="200"/>
        <w:jc w:val="left"/>
        <w:rPr>
          <w:rFonts w:ascii="楷体_GB2312" w:hAnsi="楷体" w:eastAsia="楷体_GB2312"/>
          <w:color w:val="000000" w:themeColor="text1"/>
          <w:sz w:val="32"/>
          <w:szCs w:val="32"/>
        </w:rPr>
      </w:pPr>
      <w:r>
        <w:rPr>
          <w:rFonts w:hint="eastAsia" w:ascii="楷体_GB2312" w:hAnsi="楷体" w:eastAsia="楷体_GB2312"/>
          <w:color w:val="000000" w:themeColor="text1"/>
          <w:sz w:val="32"/>
          <w:szCs w:val="32"/>
        </w:rPr>
        <w:t>（十一）产品的临床评价细化要求</w:t>
      </w:r>
    </w:p>
    <w:p w14:paraId="63ED4CC7">
      <w:pPr>
        <w:spacing w:line="520" w:lineRule="exact"/>
        <w:ind w:firstLine="640" w:firstLineChars="200"/>
        <w:rPr>
          <w:rFonts w:ascii="仿宋" w:hAnsi="仿宋" w:eastAsia="仿宋"/>
          <w:color w:val="000000" w:themeColor="text1"/>
          <w:sz w:val="32"/>
          <w:szCs w:val="32"/>
          <w:highlight w:val="none"/>
        </w:rPr>
      </w:pPr>
      <w:r>
        <w:rPr>
          <w:rFonts w:ascii="仿宋" w:hAnsi="仿宋" w:eastAsia="仿宋"/>
          <w:color w:val="000000" w:themeColor="text1"/>
          <w:sz w:val="32"/>
          <w:szCs w:val="32"/>
          <w:highlight w:val="none"/>
        </w:rPr>
        <w:t>1</w:t>
      </w:r>
      <w:r>
        <w:rPr>
          <w:rFonts w:hint="eastAsia" w:ascii="仿宋" w:hAnsi="仿宋" w:eastAsia="仿宋"/>
          <w:color w:val="000000" w:themeColor="text1"/>
          <w:sz w:val="32"/>
          <w:szCs w:val="32"/>
          <w:highlight w:val="none"/>
        </w:rPr>
        <w:t>.</w:t>
      </w:r>
      <w:r>
        <w:rPr>
          <w:rFonts w:ascii="仿宋" w:hAnsi="仿宋" w:eastAsia="仿宋"/>
          <w:color w:val="000000" w:themeColor="text1"/>
          <w:sz w:val="32"/>
          <w:szCs w:val="32"/>
          <w:highlight w:val="none"/>
        </w:rPr>
        <w:t>对列入《免于临床评价医疗器械目录》（以下简称目录）的非血管腔道导丝产品，</w:t>
      </w:r>
      <w:r>
        <w:rPr>
          <w:rFonts w:hint="eastAsia" w:ascii="仿宋" w:hAnsi="仿宋" w:eastAsia="仿宋"/>
          <w:color w:val="000000" w:themeColor="text1"/>
          <w:sz w:val="32"/>
          <w:szCs w:val="32"/>
          <w:highlight w:val="none"/>
        </w:rPr>
        <w:t>注册申请人</w:t>
      </w:r>
      <w:r>
        <w:rPr>
          <w:rFonts w:ascii="仿宋" w:hAnsi="仿宋" w:eastAsia="仿宋"/>
          <w:color w:val="000000" w:themeColor="text1"/>
          <w:sz w:val="32"/>
          <w:szCs w:val="32"/>
          <w:highlight w:val="none"/>
        </w:rPr>
        <w:t>无需提交临床评价资料。</w:t>
      </w:r>
    </w:p>
    <w:p w14:paraId="320D674E">
      <w:pPr>
        <w:spacing w:line="520" w:lineRule="exact"/>
        <w:ind w:firstLine="640" w:firstLineChars="200"/>
        <w:rPr>
          <w:rFonts w:ascii="仿宋" w:hAnsi="仿宋" w:eastAsia="仿宋"/>
          <w:color w:val="000000" w:themeColor="text1"/>
          <w:sz w:val="32"/>
          <w:szCs w:val="32"/>
          <w:highlight w:val="none"/>
        </w:rPr>
      </w:pPr>
      <w:r>
        <w:rPr>
          <w:rFonts w:ascii="仿宋" w:hAnsi="仿宋" w:eastAsia="仿宋"/>
          <w:color w:val="000000" w:themeColor="text1"/>
          <w:sz w:val="32"/>
          <w:szCs w:val="32"/>
          <w:highlight w:val="none"/>
        </w:rPr>
        <w:t>对于申报产品主体材料（包括商品名/牌号）、主体结构与《目录》中已获准境内注册的产品存在差异时，建议在符合临床需求的生理解剖模型中开展模拟使用对比验证，或其他科学的验证方法，以证明差异部分不影响产品的安全性与有效性。</w:t>
      </w:r>
    </w:p>
    <w:p w14:paraId="7BEA30AF">
      <w:pPr>
        <w:spacing w:line="52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highlight w:val="none"/>
        </w:rPr>
        <w:t>2</w:t>
      </w:r>
      <w:r>
        <w:rPr>
          <w:rFonts w:hint="eastAsia" w:ascii="仿宋" w:hAnsi="仿宋" w:eastAsia="仿宋"/>
          <w:color w:val="000000" w:themeColor="text1"/>
          <w:sz w:val="32"/>
          <w:szCs w:val="32"/>
          <w:highlight w:val="none"/>
        </w:rPr>
        <w:t>.</w:t>
      </w:r>
      <w:r>
        <w:rPr>
          <w:rFonts w:ascii="仿宋" w:hAnsi="仿宋" w:eastAsia="仿宋"/>
          <w:color w:val="000000" w:themeColor="text1"/>
          <w:sz w:val="32"/>
          <w:szCs w:val="32"/>
          <w:highlight w:val="none"/>
        </w:rPr>
        <w:t>对于新型结构设计、新型作用机理、新材料等不属于《目录》的产品，应按照《医疗器械注册管理办法》、《医疗器械临床试验质量管理规范》、《医疗器械临床评价技术指导原则》等法规的相关规定开展临床评价。</w:t>
      </w:r>
    </w:p>
    <w:p w14:paraId="339F165C">
      <w:pPr>
        <w:spacing w:line="520" w:lineRule="exact"/>
        <w:ind w:firstLine="640" w:firstLineChars="200"/>
        <w:rPr>
          <w:rFonts w:ascii="楷体_GB2312" w:hAnsi="楷体" w:eastAsia="楷体_GB2312"/>
          <w:color w:val="000000" w:themeColor="text1"/>
          <w:sz w:val="32"/>
          <w:szCs w:val="32"/>
        </w:rPr>
      </w:pPr>
      <w:r>
        <w:rPr>
          <w:rFonts w:hint="eastAsia" w:ascii="楷体_GB2312" w:hAnsi="楷体" w:eastAsia="楷体_GB2312"/>
          <w:color w:val="000000" w:themeColor="text1"/>
          <w:sz w:val="32"/>
          <w:szCs w:val="32"/>
        </w:rPr>
        <w:t>（十二）产品的不良事件历史记录</w:t>
      </w:r>
    </w:p>
    <w:p w14:paraId="706CBD2F">
      <w:pPr>
        <w:spacing w:line="520" w:lineRule="exact"/>
        <w:ind w:firstLine="640" w:firstLineChars="200"/>
        <w:rPr>
          <w:rFonts w:ascii="仿宋_GB2312" w:hAnsi="楷体" w:eastAsia="仿宋_GB2312"/>
          <w:color w:val="000000" w:themeColor="text1"/>
          <w:sz w:val="32"/>
          <w:szCs w:val="32"/>
        </w:rPr>
      </w:pPr>
      <w:r>
        <w:rPr>
          <w:rFonts w:hint="eastAsia" w:ascii="仿宋_GB2312" w:hAnsi="仿宋" w:eastAsia="仿宋_GB2312"/>
          <w:color w:val="000000" w:themeColor="text1"/>
          <w:sz w:val="32"/>
          <w:szCs w:val="32"/>
        </w:rPr>
        <w:t>暂未见相关报道。</w:t>
      </w:r>
    </w:p>
    <w:p w14:paraId="54D4F7E4">
      <w:pPr>
        <w:spacing w:line="520" w:lineRule="exact"/>
        <w:ind w:firstLine="640" w:firstLineChars="200"/>
        <w:rPr>
          <w:rFonts w:ascii="楷体_GB2312" w:hAnsi="楷体" w:eastAsia="楷体_GB2312"/>
          <w:color w:val="000000" w:themeColor="text1"/>
          <w:sz w:val="32"/>
          <w:szCs w:val="32"/>
        </w:rPr>
      </w:pPr>
      <w:r>
        <w:rPr>
          <w:rFonts w:hint="eastAsia" w:ascii="楷体_GB2312" w:hAnsi="楷体" w:eastAsia="楷体_GB2312"/>
          <w:color w:val="000000" w:themeColor="text1"/>
          <w:sz w:val="32"/>
          <w:szCs w:val="32"/>
        </w:rPr>
        <w:t>（十三）产品说明书和标签要求</w:t>
      </w:r>
    </w:p>
    <w:p w14:paraId="4C306438">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产品说明书、标签应当符合《医疗器械说明书和标签管理规定》（国家食品药品监督管理总局令第6号）、YY/T 0466.1-2016《医疗器械 用于医疗器械标签、标记和提供信息的符号 第1部分：通用要求》的要求。同时包装信息可参考YY 0450.1-2020《一次性使用无菌血管内导管辅件 第1部分：导引器械》标准中适用部分。</w:t>
      </w:r>
    </w:p>
    <w:p w14:paraId="75675845">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说明书中关于产品性能特征的描述不应超出研究资料及产品技术要求，不得含有未经验证的夸大宣传的相关描述；储存和运输条件不应超出产品货架有效期验证范围。</w:t>
      </w:r>
    </w:p>
    <w:p w14:paraId="497CBF01">
      <w:pPr>
        <w:spacing w:line="560" w:lineRule="exact"/>
        <w:ind w:right="-67" w:rightChars="-32"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注意事项应包括以下内容：</w:t>
      </w:r>
    </w:p>
    <w:p w14:paraId="5235104C">
      <w:pPr>
        <w:widowControl/>
        <w:numPr>
          <w:ilvl w:val="0"/>
          <w:numId w:val="5"/>
        </w:numPr>
        <w:spacing w:line="560" w:lineRule="exact"/>
        <w:ind w:right="-67" w:rightChars="-32" w:firstLine="640" w:firstLineChars="200"/>
        <w:textAlignment w:val="baseline"/>
        <w:rPr>
          <w:rStyle w:val="35"/>
          <w:rFonts w:ascii="仿宋" w:hAnsi="仿宋" w:eastAsia="仿宋"/>
          <w:color w:val="000000" w:themeColor="text1"/>
          <w:sz w:val="32"/>
          <w:szCs w:val="32"/>
        </w:rPr>
      </w:pPr>
      <w:r>
        <w:rPr>
          <w:rStyle w:val="35"/>
          <w:rFonts w:hint="eastAsia" w:ascii="仿宋" w:hAnsi="仿宋" w:eastAsia="仿宋"/>
          <w:color w:val="000000" w:themeColor="text1"/>
          <w:sz w:val="32"/>
          <w:szCs w:val="32"/>
        </w:rPr>
        <w:t>使用前首先阅读说明书，了解使用方法；</w:t>
      </w:r>
    </w:p>
    <w:p w14:paraId="2712AE5A">
      <w:pPr>
        <w:widowControl/>
        <w:numPr>
          <w:ilvl w:val="0"/>
          <w:numId w:val="5"/>
        </w:numPr>
        <w:spacing w:line="560" w:lineRule="exact"/>
        <w:ind w:right="-67" w:rightChars="-32" w:firstLine="640" w:firstLineChars="200"/>
        <w:textAlignment w:val="baseline"/>
        <w:rPr>
          <w:rStyle w:val="35"/>
          <w:rFonts w:ascii="仿宋" w:hAnsi="仿宋" w:eastAsia="仿宋"/>
          <w:color w:val="000000" w:themeColor="text1"/>
          <w:sz w:val="32"/>
          <w:szCs w:val="32"/>
        </w:rPr>
      </w:pPr>
      <w:r>
        <w:rPr>
          <w:rStyle w:val="35"/>
          <w:rFonts w:hint="eastAsia" w:ascii="仿宋" w:hAnsi="仿宋" w:eastAsia="仿宋"/>
          <w:color w:val="000000" w:themeColor="text1"/>
          <w:sz w:val="32"/>
          <w:szCs w:val="32"/>
        </w:rPr>
        <w:t>包装如有破损、脏污、潮湿等异常情况禁止使用；</w:t>
      </w:r>
    </w:p>
    <w:p w14:paraId="7BF9B20B">
      <w:pPr>
        <w:widowControl/>
        <w:numPr>
          <w:ilvl w:val="0"/>
          <w:numId w:val="5"/>
        </w:numPr>
        <w:spacing w:line="560" w:lineRule="exact"/>
        <w:ind w:right="-67" w:rightChars="-32" w:firstLine="640" w:firstLineChars="200"/>
        <w:textAlignment w:val="baseline"/>
        <w:rPr>
          <w:rStyle w:val="35"/>
          <w:rFonts w:ascii="仿宋" w:hAnsi="仿宋" w:eastAsia="仿宋"/>
          <w:color w:val="000000" w:themeColor="text1"/>
          <w:sz w:val="32"/>
          <w:szCs w:val="32"/>
        </w:rPr>
      </w:pPr>
      <w:r>
        <w:rPr>
          <w:rStyle w:val="35"/>
          <w:rFonts w:hint="eastAsia" w:ascii="仿宋" w:hAnsi="仿宋" w:eastAsia="仿宋"/>
          <w:color w:val="000000" w:themeColor="text1"/>
          <w:sz w:val="32"/>
          <w:szCs w:val="32"/>
        </w:rPr>
        <w:t>操作者应为专业人员；</w:t>
      </w:r>
    </w:p>
    <w:p w14:paraId="20F64D4C">
      <w:pPr>
        <w:widowControl/>
        <w:numPr>
          <w:ilvl w:val="0"/>
          <w:numId w:val="5"/>
        </w:numPr>
        <w:spacing w:line="560" w:lineRule="exact"/>
        <w:ind w:right="-67" w:rightChars="-32" w:firstLine="640" w:firstLineChars="200"/>
        <w:textAlignment w:val="baseline"/>
        <w:rPr>
          <w:rStyle w:val="35"/>
          <w:rFonts w:ascii="仿宋" w:hAnsi="仿宋" w:eastAsia="仿宋"/>
          <w:color w:val="000000" w:themeColor="text1"/>
          <w:sz w:val="32"/>
          <w:szCs w:val="32"/>
        </w:rPr>
      </w:pPr>
      <w:r>
        <w:rPr>
          <w:rStyle w:val="35"/>
          <w:rFonts w:hint="eastAsia" w:ascii="仿宋" w:hAnsi="仿宋" w:eastAsia="仿宋"/>
          <w:color w:val="000000" w:themeColor="text1"/>
          <w:sz w:val="32"/>
          <w:szCs w:val="32"/>
        </w:rPr>
        <w:t>一次性使用（如适用）；</w:t>
      </w:r>
    </w:p>
    <w:p w14:paraId="07C2A341">
      <w:pPr>
        <w:widowControl/>
        <w:numPr>
          <w:ilvl w:val="0"/>
          <w:numId w:val="5"/>
        </w:numPr>
        <w:spacing w:line="560" w:lineRule="exact"/>
        <w:ind w:right="-67" w:rightChars="-32" w:firstLine="640" w:firstLineChars="200"/>
        <w:textAlignment w:val="baseline"/>
        <w:rPr>
          <w:rStyle w:val="35"/>
          <w:rFonts w:ascii="仿宋" w:hAnsi="仿宋" w:eastAsia="仿宋"/>
          <w:color w:val="000000" w:themeColor="text1"/>
          <w:sz w:val="32"/>
          <w:szCs w:val="32"/>
        </w:rPr>
      </w:pPr>
      <w:r>
        <w:rPr>
          <w:rStyle w:val="35"/>
          <w:rFonts w:hint="eastAsia" w:ascii="仿宋" w:hAnsi="仿宋" w:eastAsia="仿宋"/>
          <w:color w:val="000000" w:themeColor="text1"/>
          <w:sz w:val="32"/>
          <w:szCs w:val="32"/>
        </w:rPr>
        <w:t>产品应在有效期内使用，超出有效期严禁使用；</w:t>
      </w:r>
    </w:p>
    <w:p w14:paraId="62AC93C2">
      <w:pPr>
        <w:widowControl/>
        <w:numPr>
          <w:ilvl w:val="0"/>
          <w:numId w:val="5"/>
        </w:numPr>
        <w:spacing w:line="560" w:lineRule="exact"/>
        <w:ind w:right="-67" w:rightChars="-32" w:firstLine="640" w:firstLineChars="200"/>
        <w:textAlignment w:val="baseline"/>
        <w:rPr>
          <w:rStyle w:val="35"/>
          <w:rFonts w:ascii="仿宋" w:hAnsi="仿宋" w:eastAsia="仿宋"/>
          <w:color w:val="000000" w:themeColor="text1"/>
          <w:sz w:val="32"/>
          <w:szCs w:val="32"/>
        </w:rPr>
      </w:pPr>
      <w:r>
        <w:rPr>
          <w:rStyle w:val="35"/>
          <w:rFonts w:hint="eastAsia" w:ascii="仿宋" w:hAnsi="仿宋" w:eastAsia="仿宋"/>
          <w:color w:val="000000" w:themeColor="text1"/>
          <w:sz w:val="32"/>
          <w:szCs w:val="32"/>
        </w:rPr>
        <w:t>本产品在使用过程中请勿随意改变其结构，如剪断产品后用于其他用途。</w:t>
      </w:r>
    </w:p>
    <w:p w14:paraId="310241DA">
      <w:pPr>
        <w:widowControl/>
        <w:numPr>
          <w:ilvl w:val="0"/>
          <w:numId w:val="5"/>
        </w:numPr>
        <w:spacing w:line="560" w:lineRule="exact"/>
        <w:ind w:right="-67" w:rightChars="-32" w:firstLine="640" w:firstLineChars="200"/>
        <w:textAlignment w:val="baseline"/>
        <w:rPr>
          <w:rStyle w:val="35"/>
          <w:rFonts w:ascii="仿宋" w:hAnsi="仿宋" w:eastAsia="仿宋"/>
          <w:color w:val="000000" w:themeColor="text1"/>
          <w:sz w:val="32"/>
          <w:szCs w:val="32"/>
        </w:rPr>
      </w:pPr>
      <w:r>
        <w:rPr>
          <w:rStyle w:val="35"/>
          <w:rFonts w:hint="eastAsia" w:ascii="仿宋" w:hAnsi="仿宋" w:eastAsia="仿宋"/>
          <w:color w:val="000000" w:themeColor="text1"/>
          <w:sz w:val="32"/>
          <w:szCs w:val="32"/>
        </w:rPr>
        <w:t>明确灭菌方式</w:t>
      </w:r>
    </w:p>
    <w:p w14:paraId="1FE283DD">
      <w:pPr>
        <w:spacing w:line="520" w:lineRule="exact"/>
        <w:ind w:firstLine="640" w:firstLineChars="200"/>
        <w:rPr>
          <w:rFonts w:ascii="楷体_GB2312" w:hAnsi="楷体" w:eastAsia="楷体_GB2312"/>
          <w:color w:val="000000" w:themeColor="text1"/>
          <w:sz w:val="32"/>
          <w:szCs w:val="32"/>
        </w:rPr>
      </w:pPr>
      <w:r>
        <w:rPr>
          <w:rFonts w:hint="eastAsia" w:ascii="楷体_GB2312" w:hAnsi="楷体" w:eastAsia="楷体_GB2312"/>
          <w:color w:val="000000" w:themeColor="text1"/>
          <w:sz w:val="32"/>
          <w:szCs w:val="32"/>
        </w:rPr>
        <w:t>(十四)研究资料</w:t>
      </w:r>
    </w:p>
    <w:p w14:paraId="5DFD1015">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应当从技术层面论述申报产品的原材料控制、设计、技术特征、产品性能指标及制订依据、生物相容性评价研究、灭菌工艺研究、有效期和包装研究等内容。至少应包含但不限于以下内容：</w:t>
      </w:r>
    </w:p>
    <w:p w14:paraId="707A1EC6">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1.原材料控制</w:t>
      </w:r>
    </w:p>
    <w:p w14:paraId="600B9349">
      <w:pPr>
        <w:spacing w:line="560" w:lineRule="exact"/>
        <w:ind w:firstLine="640" w:firstLineChars="200"/>
        <w:rPr>
          <w:rFonts w:ascii="仿宋" w:hAnsi="仿宋" w:eastAsia="仿宋"/>
          <w:strike/>
          <w:color w:val="000000" w:themeColor="text1"/>
          <w:sz w:val="32"/>
          <w:szCs w:val="32"/>
        </w:rPr>
      </w:pPr>
      <w:r>
        <w:rPr>
          <w:rFonts w:hint="eastAsia" w:ascii="仿宋" w:hAnsi="仿宋" w:eastAsia="仿宋"/>
          <w:color w:val="000000" w:themeColor="text1"/>
          <w:sz w:val="32"/>
          <w:szCs w:val="32"/>
        </w:rPr>
        <w:t>说明原材料的选择依据，明确产品的起始材料，列明产品生产过程中由起始材料至终产品所需全部材料（包括加工助剂等）的基本信息，如名称、符合的标准、主要技术要求等，列明涂层主要化学成分和比例信息。原材料应具有稳定的供货渠道以保证产品质量，需提供原材料生产厂家的资质证明及外购协议，所用原材料的质量控制标准和检验报告。应明确列出需包括涂层及制造过程中使用的焊接剂、粘合剂、着色剂等。建议产品组成材料以列表的形式提供，并与产品结构图示中标识的部件一一对应。对于部件结构采用分层/分段结构,逐层/逐段分别进行描述。若产品组成材料为混合物，建议明确各组分及其比例。</w:t>
      </w:r>
    </w:p>
    <w:p w14:paraId="37673519">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对于首次应用于医疗器械的新材料，应提供该材料适合用于产品预期用途的相关研究资料，可参考《无源植入性医疗器械注册申报资料指导原则》提供该材料适于人体使用的相关研究资料，如新材料的生物相容性研究资料，毒理学分析，可沥滤物分析，临床应用史等。</w:t>
      </w:r>
    </w:p>
    <w:p w14:paraId="53941594">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2.产品性能研究</w:t>
      </w:r>
    </w:p>
    <w:p w14:paraId="60E57600">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产品功能性、安全性指标以及与质量控制相关的其他指标可参考YY 0450.1-2020 及相关国行标予以确定。应当提供产品</w:t>
      </w:r>
      <w:r>
        <w:rPr>
          <w:rFonts w:hint="eastAsia" w:ascii="仿宋" w:hAnsi="仿宋" w:eastAsia="仿宋" w:cs="仿宋"/>
          <w:color w:val="000000" w:themeColor="text1"/>
          <w:sz w:val="32"/>
          <w:szCs w:val="32"/>
        </w:rPr>
        <w:t>技术要求中的性能指标及检验方法确定依据，对于自建方法，宜提供相应的依据及方法学验证资料</w:t>
      </w:r>
      <w:r>
        <w:rPr>
          <w:rFonts w:hint="eastAsia" w:ascii="仿宋" w:hAnsi="仿宋" w:eastAsia="仿宋"/>
          <w:color w:val="000000" w:themeColor="text1"/>
          <w:sz w:val="32"/>
          <w:szCs w:val="32"/>
        </w:rPr>
        <w:t>。性能研究宜采用终产品，选择典型产品，研究项目所用样本数量需结合统计学考虑，同时结合风险和伤害情况确定样本量，并对验证结果进行统计学分析。产品的性能研究应不限于所列举项目，申请人应根据具体产品特性，考虑需增加的性能研究项目，对于以下列举的项目中，如有不适用项，应说明具体理由。</w:t>
      </w:r>
      <w:r>
        <w:rPr>
          <w:rFonts w:hint="eastAsia" w:ascii="仿宋" w:hAnsi="仿宋" w:eastAsia="仿宋" w:cs="仿宋"/>
          <w:color w:val="000000" w:themeColor="text1"/>
          <w:sz w:val="32"/>
          <w:szCs w:val="32"/>
        </w:rPr>
        <w:t>对于可进行客观判定的成品的功能性、安全性指标以及质量控制相关的其他指标，应将其列入产品技术要求。</w:t>
      </w:r>
    </w:p>
    <w:p w14:paraId="3D92990B">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（1）设计特征</w:t>
      </w:r>
    </w:p>
    <w:p w14:paraId="3F270009">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应列明产品各部件的名称、材料、结构和功能，提供图样，内容应足够详尽。提交各部件功能与实现功能的工作原理、途径与技术指标的制定依据与验证的详细描述。如产品具有特殊结构、组件、功能等，应提供相应结构特征、参数和性能分析，以及针对性设计和验证的内容。</w:t>
      </w:r>
    </w:p>
    <w:p w14:paraId="5086AD85">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产品设计验证建议还包括对适用人群生理特点的分析，以及针对性设计输出的内容。</w:t>
      </w:r>
    </w:p>
    <w:p w14:paraId="6805EDAD">
      <w:pPr>
        <w:spacing w:line="560" w:lineRule="exact"/>
        <w:ind w:firstLine="640" w:firstLineChars="200"/>
        <w:rPr>
          <w:rFonts w:ascii="仿宋" w:hAnsi="仿宋" w:eastAsia="仿宋" w:cs="仿宋"/>
          <w:color w:val="000000" w:themeColor="text1"/>
          <w:sz w:val="32"/>
          <w:szCs w:val="32"/>
        </w:rPr>
      </w:pPr>
      <w:r>
        <w:rPr>
          <w:rFonts w:hint="eastAsia" w:ascii="仿宋" w:hAnsi="仿宋" w:eastAsia="仿宋"/>
          <w:color w:val="000000" w:themeColor="text1"/>
          <w:sz w:val="32"/>
          <w:szCs w:val="32"/>
        </w:rPr>
        <w:t>产品在腔内起到的作用有入路、到达病变、通过病变以及输送腔内器具。根据这四部分作用，建议提供模拟使用性能的验证文件，如推送性、支撑性、操控性、柔顺性。</w:t>
      </w:r>
      <w:r>
        <w:rPr>
          <w:rFonts w:hint="eastAsia" w:ascii="仿宋" w:hAnsi="仿宋" w:eastAsia="仿宋" w:cs="仿宋"/>
          <w:color w:val="000000" w:themeColor="text1"/>
          <w:sz w:val="32"/>
          <w:szCs w:val="32"/>
        </w:rPr>
        <w:t>与已上市产品对比，材料、结构、用途等都相同的，可以不做研究。</w:t>
      </w:r>
    </w:p>
    <w:p w14:paraId="6D001A04">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 物理特性</w:t>
      </w:r>
    </w:p>
    <w:p w14:paraId="5519E43E">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应有各部件外观，尺寸（</w:t>
      </w:r>
      <w:r>
        <w:rPr>
          <w:rFonts w:hint="eastAsia" w:ascii="仿宋" w:hAnsi="仿宋" w:eastAsia="仿宋" w:cs="仿宋"/>
          <w:color w:val="000000" w:themeColor="text1"/>
          <w:sz w:val="32"/>
          <w:szCs w:val="32"/>
        </w:rPr>
        <w:t>如外径、长度等</w:t>
      </w:r>
      <w:r>
        <w:rPr>
          <w:rFonts w:hint="eastAsia" w:ascii="仿宋" w:hAnsi="仿宋" w:eastAsia="仿宋"/>
          <w:color w:val="000000" w:themeColor="text1"/>
          <w:sz w:val="32"/>
          <w:szCs w:val="32"/>
        </w:rPr>
        <w:t>），导丝的抗弯曲性（硬质导丝不适用）、抗破裂性（硬质导丝不适用）、峰值拉力（导丝上会导致失效的关键连接处）、耐腐蚀性（对于芯丝中与人体腔道有接触的金属部分）、射线可探测性等指标。如包含特殊组件、结构和功能，应规定相关要求。</w:t>
      </w:r>
    </w:p>
    <w:p w14:paraId="0D513C05">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（3）化学性能要求</w:t>
      </w:r>
    </w:p>
    <w:p w14:paraId="37E4A766">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根据不同材料特性及工艺条件，决定具体的化学性能研究项目，如酸碱度、紫外吸光度、还原物质、蒸发残渣、重金属含量等，如有不适用，请说明原因，并提供相关研究资料。采用环氧乙烷灭菌的产品，需对环氧乙烷及2-氯乙醇（如适用）残留量进行研究。</w:t>
      </w:r>
    </w:p>
    <w:p w14:paraId="5512F555">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如材料配方中使用了已知的潜在毒性物质，如特殊原材料的化学添加物、粘合剂等物质、增塑剂等，建议选择相应物质用量最大的使用型号，采用适宜浸提溶液，以及经过方法学验证的检测方法，检测其溶出总量，并进行人体使用安全性评估，或提供相同材料配方的同类产品的安全使用支持文件。</w:t>
      </w:r>
    </w:p>
    <w:p w14:paraId="5AD73CCC">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（4）其他性能要求</w:t>
      </w:r>
    </w:p>
    <w:p w14:paraId="3C8E3253">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包括无菌要求及根据产品宣称的技术特点制定的其他性能要求。</w:t>
      </w:r>
    </w:p>
    <w:p w14:paraId="7A52739A">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3.生物相容性评价研究</w:t>
      </w:r>
    </w:p>
    <w:p w14:paraId="66C9D003">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生物相容性评价研究资料应当包括：生物相容性评价的依据和方法；产品所用材料的描述及与人体接触的性质；实施或豁免生物学试验的理由和论证;对于现有数据或试验结果的评价。若开展生物学评价试验，应按照GB/T 16886.1—2011《医疗器械生物学评价 第1部分：风险管理过程中的评价与试验》标准进行评价，至少进行细胞毒、皮内刺激、致敏性的生物学评价研究。</w:t>
      </w:r>
    </w:p>
    <w:p w14:paraId="5EC9E1A9">
      <w:pPr>
        <w:spacing w:line="560" w:lineRule="exact"/>
        <w:ind w:firstLine="560" w:firstLineChars="175"/>
        <w:rPr>
          <w:rFonts w:ascii="仿宋" w:hAnsi="仿宋" w:eastAsia="仿宋"/>
          <w:color w:val="000000" w:themeColor="text1"/>
          <w:sz w:val="32"/>
          <w:szCs w:val="32"/>
        </w:rPr>
      </w:pPr>
      <w:r>
        <w:rPr>
          <w:rFonts w:hint="eastAsia" w:ascii="仿宋" w:hAnsi="仿宋" w:eastAsia="仿宋"/>
          <w:color w:val="000000" w:themeColor="text1"/>
          <w:sz w:val="32"/>
          <w:szCs w:val="32"/>
        </w:rPr>
        <w:t>4.灭菌工艺研究</w:t>
      </w:r>
    </w:p>
    <w:p w14:paraId="692A2AF3">
      <w:pPr>
        <w:spacing w:line="560" w:lineRule="exact"/>
        <w:ind w:firstLine="560"/>
        <w:rPr>
          <w:rFonts w:ascii="仿宋" w:hAnsi="仿宋" w:eastAsia="仿宋"/>
          <w:color w:val="000000" w:themeColor="text1"/>
          <w:sz w:val="32"/>
          <w:szCs w:val="32"/>
        </w:rPr>
      </w:pPr>
      <w:r>
        <w:rPr>
          <w:rFonts w:hint="eastAsia" w:ascii="仿宋" w:hAnsi="仿宋" w:eastAsia="仿宋"/>
          <w:color w:val="000000" w:themeColor="text1"/>
          <w:sz w:val="32"/>
          <w:szCs w:val="32"/>
        </w:rPr>
        <w:t>应明确灭菌工艺（方法和参数）和无菌保证水平（SAL），无菌保证水平需达到10</w:t>
      </w:r>
      <w:r>
        <w:rPr>
          <w:rFonts w:hint="eastAsia" w:ascii="仿宋" w:hAnsi="仿宋" w:eastAsia="仿宋"/>
          <w:color w:val="000000" w:themeColor="text1"/>
          <w:sz w:val="32"/>
          <w:szCs w:val="32"/>
          <w:vertAlign w:val="superscript"/>
        </w:rPr>
        <w:t>-6</w:t>
      </w:r>
      <w:r>
        <w:rPr>
          <w:rFonts w:hint="eastAsia" w:ascii="仿宋" w:hAnsi="仿宋" w:eastAsia="仿宋"/>
          <w:color w:val="000000" w:themeColor="text1"/>
          <w:sz w:val="32"/>
          <w:szCs w:val="32"/>
        </w:rPr>
        <w:t>，应提供灭菌确认报告。如采用环氧乙烷灭菌工艺，应参照GB 18279.1-2015要求进行研究，且明确残留物要求及采取的处理方法，并提供研究资料。当使用环氧乙烷灭菌的医疗器械中存在2-氯乙醇时,也要规定2-氯乙醇的最大允许残留量（可参考GB/T 16886.7-2015中4.3.5.3项的要求），明确采取的处理方法，并提供研究资料。如产品生产过程中没有含氯物质(如含氯清洗剂等)，可不研究2-氯乙醇的残留。</w:t>
      </w:r>
    </w:p>
    <w:p w14:paraId="0C114CA4">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对于由终端用户进行灭菌的产品应明确推荐的灭菌工艺（方法和参数）及所推荐的灭菌方法确定的依据。</w:t>
      </w:r>
    </w:p>
    <w:p w14:paraId="44EA5476">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5.产品有效期和包装研究</w:t>
      </w:r>
    </w:p>
    <w:p w14:paraId="3B17723B">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（1）有效期研究</w:t>
      </w:r>
    </w:p>
    <w:p w14:paraId="34D9C301">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有效期包括产品有效期和包装有效期。产品有效期验证可采用实时老化或/和加速老化的研究。实时老化的研究是唯一能够反映产品在规定储存条件下实际稳定性要求的方法，应遵循极限试验和过载试验原则。建议以加速老化试验来对产品效期进行先期研究和预测，并适时启动实时老化试验对产品效期做进一步的后续研究和确认。加速老化中“室温或环境温度（TRT）”建议设定为25±2℃，当加速老化与实时老化结果不一致时，应以实时老化结果为准。加速老化研究试验的具体要求可参考YY/T 0681.1-2018《无菌医疗器械包装试验方法 第1部分：加速老化试验指南》。 </w:t>
      </w:r>
    </w:p>
    <w:p w14:paraId="7C23808D">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对于包装的有效期验证，建议申请人提交在选择恰当的材料和包装结构合格后的最终成品包装的初始完整性和维持完整性的检测结果。在进行加速老化试验研究时应注意：产品选择的环境条件的老化机制应与宣称的运输储存条件真实下发生产品老化的机制相匹配一致。对于在加速老化研究中可能导致产品变性而不适于选择加速老化试验方法研究其包装的有效期验证，应以实时老化方法测定和验证。</w:t>
      </w:r>
    </w:p>
    <w:p w14:paraId="7F7C6E56">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（2）包装及包装完整性：在宣称的有效期内以及运输储存条件下，保持包装完整性的依据。</w:t>
      </w:r>
    </w:p>
    <w:p w14:paraId="1582D822">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产品包装验证可依据有关标准进行（如GB/T 19633系列标准等），提交产品的包装完整性验证报告。</w:t>
      </w:r>
    </w:p>
    <w:p w14:paraId="63100512">
      <w:pPr>
        <w:spacing w:line="520" w:lineRule="exact"/>
        <w:ind w:right="-67" w:rightChars="-32"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三、审查关注点</w:t>
      </w:r>
    </w:p>
    <w:p w14:paraId="2923C03F">
      <w:pPr>
        <w:spacing w:line="560" w:lineRule="exact"/>
        <w:ind w:firstLine="640" w:firstLineChars="200"/>
        <w:rPr>
          <w:rFonts w:ascii="楷体" w:hAnsi="楷体" w:eastAsia="楷体"/>
          <w:bCs/>
          <w:color w:val="000000" w:themeColor="text1"/>
          <w:sz w:val="32"/>
          <w:szCs w:val="32"/>
        </w:rPr>
      </w:pPr>
      <w:r>
        <w:rPr>
          <w:rFonts w:hint="eastAsia" w:ascii="楷体" w:hAnsi="楷体" w:eastAsia="楷体"/>
          <w:bCs/>
          <w:color w:val="000000" w:themeColor="text1"/>
          <w:sz w:val="32"/>
          <w:szCs w:val="32"/>
        </w:rPr>
        <w:t>（一）产品技术要求</w:t>
      </w:r>
    </w:p>
    <w:p w14:paraId="6B579F90">
      <w:pPr>
        <w:spacing w:line="560" w:lineRule="exact"/>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应关注导丝产品技术要求编写的规范性，引用标准的适用性、准确性；应关注企业是否根据宣称的特殊性能、技术特点制定相关的性能指标要求。</w:t>
      </w:r>
    </w:p>
    <w:p w14:paraId="69CA236E">
      <w:pPr>
        <w:spacing w:line="560" w:lineRule="exact"/>
        <w:ind w:firstLine="640" w:firstLineChars="200"/>
        <w:rPr>
          <w:rFonts w:ascii="楷体" w:hAnsi="楷体" w:eastAsia="楷体"/>
          <w:bCs/>
          <w:color w:val="000000" w:themeColor="text1"/>
          <w:sz w:val="32"/>
          <w:szCs w:val="32"/>
        </w:rPr>
      </w:pPr>
      <w:r>
        <w:rPr>
          <w:rFonts w:hint="eastAsia" w:ascii="楷体" w:hAnsi="楷体" w:eastAsia="楷体"/>
          <w:bCs/>
          <w:color w:val="000000" w:themeColor="text1"/>
          <w:sz w:val="32"/>
          <w:szCs w:val="32"/>
        </w:rPr>
        <w:t>（二）产品说明书要求</w:t>
      </w:r>
    </w:p>
    <w:p w14:paraId="55BCEC9E">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应关注说明书是否有未经验证的夸大宣传的相关描述。</w:t>
      </w:r>
    </w:p>
    <w:p w14:paraId="143AFB0D">
      <w:pPr>
        <w:spacing w:line="560" w:lineRule="exact"/>
        <w:ind w:firstLine="640" w:firstLineChars="200"/>
        <w:rPr>
          <w:rFonts w:ascii="楷体" w:hAnsi="楷体" w:eastAsia="楷体"/>
          <w:bCs/>
          <w:color w:val="000000" w:themeColor="text1"/>
          <w:sz w:val="32"/>
          <w:szCs w:val="32"/>
        </w:rPr>
      </w:pPr>
      <w:r>
        <w:rPr>
          <w:rFonts w:hint="eastAsia" w:ascii="楷体" w:hAnsi="楷体" w:eastAsia="楷体"/>
          <w:bCs/>
          <w:color w:val="000000" w:themeColor="text1"/>
          <w:sz w:val="32"/>
          <w:szCs w:val="32"/>
        </w:rPr>
        <w:t>（三）产品风险分析资料</w:t>
      </w:r>
    </w:p>
    <w:p w14:paraId="17C68617">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应关注产品的主要风险是否已经列举，并通过风险控制措施使产品的安全性在合理可接受的程度之内。</w:t>
      </w:r>
    </w:p>
    <w:p w14:paraId="77818CE8">
      <w:pPr>
        <w:spacing w:line="560" w:lineRule="exact"/>
        <w:ind w:firstLine="640" w:firstLineChars="200"/>
        <w:rPr>
          <w:rFonts w:ascii="楷体" w:hAnsi="楷体" w:eastAsia="楷体"/>
          <w:bCs/>
          <w:color w:val="000000" w:themeColor="text1"/>
          <w:sz w:val="32"/>
          <w:szCs w:val="32"/>
        </w:rPr>
      </w:pPr>
      <w:r>
        <w:rPr>
          <w:rFonts w:hint="eastAsia" w:ascii="楷体" w:hAnsi="楷体" w:eastAsia="楷体"/>
          <w:bCs/>
          <w:color w:val="000000" w:themeColor="text1"/>
          <w:sz w:val="32"/>
          <w:szCs w:val="32"/>
        </w:rPr>
        <w:t>（四）注册检测的典型产品</w:t>
      </w:r>
    </w:p>
    <w:p w14:paraId="3F18FE45">
      <w:pPr>
        <w:spacing w:line="560" w:lineRule="exact"/>
        <w:ind w:firstLine="640" w:firstLineChars="200"/>
        <w:rPr>
          <w:rFonts w:ascii="仿宋_GB2312" w:hAnsi="仿宋" w:eastAsia="仿宋_GB2312"/>
          <w:color w:val="000000" w:themeColor="text1"/>
          <w:sz w:val="32"/>
          <w:szCs w:val="32"/>
        </w:rPr>
      </w:pPr>
      <w:r>
        <w:rPr>
          <w:rFonts w:hint="eastAsia" w:ascii="仿宋" w:hAnsi="仿宋" w:eastAsia="仿宋"/>
          <w:color w:val="000000" w:themeColor="text1"/>
          <w:sz w:val="32"/>
          <w:szCs w:val="32"/>
        </w:rPr>
        <w:t>应关注注册检测产品是否能够代表本注册单元内其他产品安全性和有效性。</w:t>
      </w:r>
    </w:p>
    <w:p w14:paraId="7036FC7D">
      <w:pPr>
        <w:widowControl/>
        <w:jc w:val="left"/>
        <w:rPr>
          <w:rFonts w:ascii="仿宋_GB2312" w:hAnsi="仿宋" w:eastAsia="仿宋_GB2312"/>
          <w:color w:val="000000" w:themeColor="text1"/>
          <w:sz w:val="32"/>
          <w:szCs w:val="32"/>
        </w:rPr>
      </w:pPr>
      <w:r>
        <w:rPr>
          <w:rFonts w:ascii="仿宋_GB2312" w:hAnsi="仿宋" w:eastAsia="仿宋_GB2312"/>
          <w:color w:val="000000" w:themeColor="text1"/>
          <w:sz w:val="32"/>
          <w:szCs w:val="32"/>
        </w:rPr>
        <w:br w:type="page"/>
      </w:r>
    </w:p>
    <w:p w14:paraId="6AAD4BCF">
      <w:pPr>
        <w:spacing w:afterLines="100" w:line="520" w:lineRule="exact"/>
        <w:ind w:right="-67" w:rightChars="-32"/>
        <w:jc w:val="center"/>
        <w:rPr>
          <w:rFonts w:ascii="方正小标宋简体" w:hAnsi="宋体" w:eastAsia="方正小标宋简体" w:cs="方正小标宋简体"/>
          <w:color w:val="000000" w:themeColor="text1"/>
          <w:sz w:val="36"/>
          <w:szCs w:val="36"/>
        </w:rPr>
      </w:pPr>
      <w:r>
        <w:rPr>
          <w:rFonts w:hint="eastAsia" w:ascii="方正小标宋简体" w:hAnsi="宋体" w:eastAsia="方正小标宋简体" w:cs="方正小标宋简体"/>
          <w:color w:val="000000" w:themeColor="text1"/>
          <w:sz w:val="36"/>
          <w:szCs w:val="36"/>
        </w:rPr>
        <w:t>导丝技术审评规范编制说明</w:t>
      </w:r>
    </w:p>
    <w:p w14:paraId="19DC69AF">
      <w:pPr>
        <w:spacing w:line="52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一、产品技术审评</w:t>
      </w:r>
      <w:r>
        <w:rPr>
          <w:rFonts w:hint="eastAsia" w:ascii="黑体" w:eastAsia="黑体"/>
          <w:color w:val="000000" w:themeColor="text1"/>
          <w:sz w:val="32"/>
          <w:szCs w:val="32"/>
        </w:rPr>
        <w:t>规范起草目的和背景</w:t>
      </w:r>
    </w:p>
    <w:p w14:paraId="63CCD854">
      <w:pPr>
        <w:snapToGrid w:val="0"/>
        <w:spacing w:line="52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（一）本指导原则编写的目的是用于指导和规范导丝产品注册申报过程中审查人员对注册材料的技术审评。</w:t>
      </w:r>
    </w:p>
    <w:p w14:paraId="5A59A49E">
      <w:pPr>
        <w:snapToGrid w:val="0"/>
        <w:spacing w:line="52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二）本指导原则旨在让初次接触该类产品的注册审查人员对产品原理、结构、主要性能、预期用途等各个方面有个基本了解，同时让技术审查人员在产品注册技术审评时把握基本的尺度，对产品安全性、有效性作出系统评价。</w:t>
      </w:r>
    </w:p>
    <w:p w14:paraId="6D98241A">
      <w:pPr>
        <w:spacing w:line="52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二、产品技术审评</w:t>
      </w:r>
      <w:r>
        <w:rPr>
          <w:rFonts w:hint="eastAsia" w:ascii="黑体" w:eastAsia="黑体"/>
          <w:color w:val="000000" w:themeColor="text1"/>
          <w:sz w:val="32"/>
          <w:szCs w:val="32"/>
        </w:rPr>
        <w:t>规范编写的依据</w:t>
      </w:r>
    </w:p>
    <w:p w14:paraId="1685A43E">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（一）《医疗器械监督管理条例》(国务院令第</w:t>
      </w:r>
      <w:r>
        <w:rPr>
          <w:rFonts w:ascii="仿宋" w:hAnsi="仿宋" w:eastAsia="仿宋"/>
          <w:color w:val="000000" w:themeColor="text1"/>
          <w:sz w:val="32"/>
          <w:szCs w:val="32"/>
        </w:rPr>
        <w:t>739</w:t>
      </w:r>
      <w:r>
        <w:rPr>
          <w:rFonts w:hint="eastAsia" w:ascii="仿宋" w:hAnsi="仿宋" w:eastAsia="仿宋"/>
          <w:color w:val="000000" w:themeColor="text1"/>
          <w:sz w:val="32"/>
          <w:szCs w:val="32"/>
        </w:rPr>
        <w:t>号)</w:t>
      </w:r>
    </w:p>
    <w:p w14:paraId="1E482040">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（二）《医疗器械注册与备案管理办法》（国家市场监督管理总局令第</w:t>
      </w:r>
      <w:r>
        <w:rPr>
          <w:rFonts w:ascii="仿宋" w:hAnsi="仿宋" w:eastAsia="仿宋"/>
          <w:color w:val="000000" w:themeColor="text1"/>
          <w:sz w:val="32"/>
          <w:szCs w:val="32"/>
        </w:rPr>
        <w:t>47</w:t>
      </w:r>
      <w:r>
        <w:rPr>
          <w:rFonts w:hint="eastAsia" w:ascii="仿宋" w:hAnsi="仿宋" w:eastAsia="仿宋"/>
          <w:color w:val="000000" w:themeColor="text1"/>
          <w:sz w:val="32"/>
          <w:szCs w:val="32"/>
        </w:rPr>
        <w:t>号）</w:t>
      </w:r>
    </w:p>
    <w:p w14:paraId="446E223E">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（三）《医疗器械说明书和标签管理规定》（国家食品药品监督管理总局令第6号）</w:t>
      </w:r>
    </w:p>
    <w:p w14:paraId="78937182">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（四）《医疗器械产品技术要求编写指导原则》（国家食品药品监督管理总局 20</w:t>
      </w:r>
      <w:r>
        <w:rPr>
          <w:rFonts w:hint="eastAsia" w:ascii="仿宋" w:hAnsi="仿宋" w:eastAsia="仿宋"/>
          <w:color w:val="000000" w:themeColor="text1"/>
          <w:sz w:val="32"/>
          <w:szCs w:val="32"/>
          <w:lang w:val="en-US" w:eastAsia="zh-CN"/>
        </w:rPr>
        <w:t>22</w:t>
      </w:r>
      <w:r>
        <w:rPr>
          <w:rFonts w:hint="eastAsia" w:ascii="仿宋" w:hAnsi="仿宋" w:eastAsia="仿宋"/>
          <w:color w:val="000000" w:themeColor="text1"/>
          <w:sz w:val="32"/>
          <w:szCs w:val="32"/>
        </w:rPr>
        <w:t>年第</w:t>
      </w:r>
      <w:r>
        <w:rPr>
          <w:rFonts w:hint="eastAsia" w:ascii="仿宋" w:hAnsi="仿宋" w:eastAsia="仿宋"/>
          <w:color w:val="000000" w:themeColor="text1"/>
          <w:sz w:val="32"/>
          <w:szCs w:val="32"/>
          <w:lang w:val="en-US" w:eastAsia="zh-CN"/>
        </w:rPr>
        <w:t>8</w:t>
      </w:r>
      <w:r>
        <w:rPr>
          <w:rFonts w:hint="eastAsia" w:ascii="仿宋" w:hAnsi="仿宋" w:eastAsia="仿宋"/>
          <w:color w:val="000000" w:themeColor="text1"/>
          <w:sz w:val="32"/>
          <w:szCs w:val="32"/>
        </w:rPr>
        <w:t>号通告）</w:t>
      </w:r>
    </w:p>
    <w:p w14:paraId="62590F63">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（五）《免于临床评价医疗器械目录》的通告（2</w:t>
      </w:r>
      <w:r>
        <w:rPr>
          <w:rFonts w:ascii="仿宋" w:hAnsi="仿宋" w:eastAsia="仿宋"/>
          <w:color w:val="000000" w:themeColor="text1"/>
          <w:sz w:val="32"/>
          <w:szCs w:val="32"/>
        </w:rPr>
        <w:t>021</w:t>
      </w:r>
      <w:r>
        <w:rPr>
          <w:rFonts w:hint="eastAsia" w:ascii="仿宋" w:hAnsi="仿宋" w:eastAsia="仿宋"/>
          <w:color w:val="000000" w:themeColor="text1"/>
          <w:sz w:val="32"/>
          <w:szCs w:val="32"/>
        </w:rPr>
        <w:t>年第</w:t>
      </w:r>
      <w:r>
        <w:rPr>
          <w:rFonts w:ascii="仿宋" w:hAnsi="仿宋" w:eastAsia="仿宋"/>
          <w:color w:val="000000" w:themeColor="text1"/>
          <w:sz w:val="32"/>
          <w:szCs w:val="32"/>
        </w:rPr>
        <w:t>71</w:t>
      </w:r>
      <w:r>
        <w:rPr>
          <w:rFonts w:hint="eastAsia" w:ascii="仿宋" w:hAnsi="仿宋" w:eastAsia="仿宋"/>
          <w:color w:val="000000" w:themeColor="text1"/>
          <w:sz w:val="32"/>
          <w:szCs w:val="32"/>
        </w:rPr>
        <w:t>号）</w:t>
      </w:r>
    </w:p>
    <w:p w14:paraId="16A7B62E">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（六）《医疗器械临床评价技术指导原则等5项技术指导原则》（国家药品监督管理局2</w:t>
      </w:r>
      <w:r>
        <w:rPr>
          <w:rFonts w:ascii="仿宋" w:hAnsi="仿宋" w:eastAsia="仿宋"/>
          <w:color w:val="000000" w:themeColor="text1"/>
          <w:sz w:val="32"/>
          <w:szCs w:val="32"/>
        </w:rPr>
        <w:t>021</w:t>
      </w:r>
      <w:r>
        <w:rPr>
          <w:rFonts w:hint="eastAsia" w:ascii="仿宋" w:hAnsi="仿宋" w:eastAsia="仿宋"/>
          <w:color w:val="000000" w:themeColor="text1"/>
          <w:sz w:val="32"/>
          <w:szCs w:val="32"/>
        </w:rPr>
        <w:t>年第7</w:t>
      </w:r>
      <w:r>
        <w:rPr>
          <w:rFonts w:ascii="仿宋" w:hAnsi="仿宋" w:eastAsia="仿宋"/>
          <w:color w:val="000000" w:themeColor="text1"/>
          <w:sz w:val="32"/>
          <w:szCs w:val="32"/>
        </w:rPr>
        <w:t>3</w:t>
      </w:r>
      <w:r>
        <w:rPr>
          <w:rFonts w:hint="eastAsia" w:ascii="仿宋" w:hAnsi="仿宋" w:eastAsia="仿宋"/>
          <w:color w:val="000000" w:themeColor="text1"/>
          <w:sz w:val="32"/>
          <w:szCs w:val="32"/>
        </w:rPr>
        <w:t>号通告）</w:t>
      </w:r>
    </w:p>
    <w:p w14:paraId="033A0C54">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（七）国家药品监督管理部门发布的其他规范性文件</w:t>
      </w:r>
    </w:p>
    <w:p w14:paraId="0AD99957">
      <w:pPr>
        <w:spacing w:line="52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三、产品技术审评</w:t>
      </w:r>
      <w:r>
        <w:rPr>
          <w:rFonts w:hint="eastAsia" w:ascii="黑体" w:eastAsia="黑体"/>
          <w:color w:val="000000" w:themeColor="text1"/>
          <w:sz w:val="32"/>
          <w:szCs w:val="32"/>
        </w:rPr>
        <w:t>规范中重点内容说明</w:t>
      </w:r>
    </w:p>
    <w:p w14:paraId="2142AE94">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（一）根据《医疗器械分类目录》（</w:t>
      </w:r>
      <w:r>
        <w:rPr>
          <w:rFonts w:hint="eastAsia" w:ascii="仿宋" w:hAnsi="仿宋" w:eastAsia="仿宋"/>
          <w:color w:val="000000" w:themeColor="text1"/>
          <w:sz w:val="32"/>
          <w:szCs w:val="32"/>
          <w:lang w:val="en-US" w:eastAsia="zh-CN"/>
        </w:rPr>
        <w:t>原</w:t>
      </w:r>
      <w:r>
        <w:rPr>
          <w:rFonts w:hint="eastAsia" w:ascii="仿宋" w:hAnsi="仿宋" w:eastAsia="仿宋"/>
          <w:color w:val="000000" w:themeColor="text1"/>
          <w:sz w:val="32"/>
          <w:szCs w:val="32"/>
        </w:rPr>
        <w:t>国家食品药品监督管理总局</w:t>
      </w:r>
      <w:r>
        <w:rPr>
          <w:rFonts w:ascii="仿宋" w:hAnsi="仿宋" w:eastAsia="仿宋"/>
          <w:color w:val="000000" w:themeColor="text1"/>
          <w:sz w:val="32"/>
          <w:szCs w:val="32"/>
        </w:rPr>
        <w:t>2017年第104号</w:t>
      </w:r>
      <w:r>
        <w:rPr>
          <w:rFonts w:hint="eastAsia" w:ascii="仿宋" w:hAnsi="仿宋" w:eastAsia="仿宋"/>
          <w:color w:val="000000" w:themeColor="text1"/>
          <w:sz w:val="32"/>
          <w:szCs w:val="32"/>
        </w:rPr>
        <w:t>公告）、《医疗器械分类规则》（国家食品药品监督管理总局令第15号）确定了导丝的管理类别并参考专家意见确定了适用范围。</w:t>
      </w:r>
    </w:p>
    <w:p w14:paraId="71599FCD">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三）根据产品注册要求，明确了产品研究资料部分，包括产品性能研究、生物相容性评价研究、灭菌工艺研究、产品包装和有效期研究；明确了产品生产工艺过程，及过程质量控制点；明确了产品的临床评价细化要求。</w:t>
      </w:r>
    </w:p>
    <w:p w14:paraId="24C484FC">
      <w:pPr>
        <w:spacing w:line="560" w:lineRule="exact"/>
        <w:ind w:firstLine="640" w:firstLineChars="200"/>
        <w:rPr>
          <w:rFonts w:ascii="仿宋" w:eastAsia="仿宋"/>
          <w:color w:val="000000" w:themeColor="text1"/>
        </w:rPr>
      </w:pPr>
      <w:r>
        <w:rPr>
          <w:rFonts w:hint="eastAsia" w:ascii="仿宋" w:hAnsi="仿宋" w:eastAsia="仿宋"/>
          <w:color w:val="000000" w:themeColor="text1"/>
          <w:sz w:val="32"/>
          <w:szCs w:val="32"/>
        </w:rPr>
        <w:t>（四）产品的主要风险参照YY/T 0316-2016中附录E进行。</w:t>
      </w:r>
    </w:p>
    <w:p w14:paraId="6AD8381E">
      <w:pPr>
        <w:snapToGrid w:val="0"/>
        <w:spacing w:line="520" w:lineRule="exact"/>
        <w:ind w:firstLine="640" w:firstLineChars="200"/>
        <w:rPr>
          <w:rFonts w:ascii="黑体" w:hAnsi="宋体" w:eastAsia="黑体"/>
          <w:color w:val="000000" w:themeColor="text1"/>
          <w:sz w:val="32"/>
          <w:szCs w:val="32"/>
        </w:rPr>
      </w:pPr>
      <w:r>
        <w:rPr>
          <w:rFonts w:hint="eastAsia" w:ascii="仿宋" w:hAnsi="仿宋" w:eastAsia="仿宋"/>
          <w:color w:val="000000" w:themeColor="text1"/>
          <w:sz w:val="32"/>
          <w:szCs w:val="32"/>
        </w:rPr>
        <w:t>（五）企业生产制造应满足法规、质量管理体系的要求。</w:t>
      </w:r>
      <w:r>
        <w:rPr>
          <w:rFonts w:hint="eastAsia" w:ascii="黑体" w:hAnsi="宋体" w:eastAsia="黑体"/>
          <w:color w:val="000000" w:themeColor="text1"/>
          <w:sz w:val="32"/>
          <w:szCs w:val="32"/>
        </w:rPr>
        <w:t>四、</w:t>
      </w:r>
      <w:r>
        <w:rPr>
          <w:rFonts w:hint="eastAsia" w:ascii="黑体" w:hAnsi="黑体" w:eastAsia="黑体"/>
          <w:color w:val="000000" w:themeColor="text1"/>
          <w:sz w:val="32"/>
          <w:szCs w:val="32"/>
        </w:rPr>
        <w:t>产品技术审评规范</w:t>
      </w:r>
      <w:r>
        <w:rPr>
          <w:rFonts w:hint="eastAsia" w:ascii="黑体" w:hAnsi="宋体" w:eastAsia="黑体"/>
          <w:color w:val="000000" w:themeColor="text1"/>
          <w:sz w:val="32"/>
          <w:szCs w:val="32"/>
        </w:rPr>
        <w:t>编写人员</w:t>
      </w:r>
    </w:p>
    <w:p w14:paraId="26ABEBA2">
      <w:pPr>
        <w:snapToGrid w:val="0"/>
        <w:spacing w:line="52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本规范的编写成员由注册技术审评人员、医疗器械检验人员、专业厂家代表、临床专家等共同组成，以充分利用各方面的信息资源和专业特长，将产品注册各个环节的有关要求尽可能全面地体现在产品技术审评规范的相关章节中，从而保证审评规范的正确、全面、实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Microsoft YaHei UI"/>
    <w:panose1 w:val="00000000000000000000"/>
    <w:charset w:val="86"/>
    <w:family w:val="auto"/>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91106"/>
    </w:sdtPr>
    <w:sdtContent>
      <w:p w14:paraId="78C921E3">
        <w:pPr>
          <w:pStyle w:val="7"/>
          <w:jc w:val="center"/>
        </w:pPr>
        <w:r>
          <w:fldChar w:fldCharType="begin"/>
        </w:r>
        <w:r>
          <w:instrText xml:space="preserve">PAGE   \* MERGEFORMAT</w:instrText>
        </w:r>
        <w:r>
          <w:fldChar w:fldCharType="separate"/>
        </w:r>
        <w:r>
          <w:rPr>
            <w:lang w:val="zh-CN"/>
          </w:rPr>
          <w:t>18</w:t>
        </w:r>
        <w:r>
          <w:fldChar w:fldCharType="end"/>
        </w:r>
      </w:p>
    </w:sdtContent>
  </w:sdt>
  <w:p w14:paraId="6768AD97">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0BA1D"/>
    <w:multiLevelType w:val="singleLevel"/>
    <w:tmpl w:val="B7C0BA1D"/>
    <w:lvl w:ilvl="0" w:tentative="0">
      <w:start w:val="1"/>
      <w:numFmt w:val="decimal"/>
      <w:suff w:val="nothing"/>
      <w:lvlText w:val="%1-"/>
      <w:lvlJc w:val="left"/>
    </w:lvl>
  </w:abstractNum>
  <w:abstractNum w:abstractNumId="1">
    <w:nsid w:val="C136582D"/>
    <w:multiLevelType w:val="singleLevel"/>
    <w:tmpl w:val="C136582D"/>
    <w:lvl w:ilvl="0" w:tentative="0">
      <w:start w:val="1"/>
      <w:numFmt w:val="decimal"/>
      <w:suff w:val="nothing"/>
      <w:lvlText w:val="%1-"/>
      <w:lvlJc w:val="left"/>
    </w:lvl>
  </w:abstractNum>
  <w:abstractNum w:abstractNumId="2">
    <w:nsid w:val="2E6C120A"/>
    <w:multiLevelType w:val="multilevel"/>
    <w:tmpl w:val="2E6C120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1D7302C"/>
    <w:multiLevelType w:val="multilevel"/>
    <w:tmpl w:val="31D7302C"/>
    <w:lvl w:ilvl="0" w:tentative="0">
      <w:start w:val="1"/>
      <w:numFmt w:val="decimal"/>
      <w:suff w:val="nothing"/>
      <w:lvlText w:val="%1"/>
      <w:lvlJc w:val="left"/>
      <w:pPr>
        <w:ind w:left="1277"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37E348A0"/>
    <w:multiLevelType w:val="multilevel"/>
    <w:tmpl w:val="37E348A0"/>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5081"/>
    <w:rsid w:val="00000156"/>
    <w:rsid w:val="000031C4"/>
    <w:rsid w:val="00014A05"/>
    <w:rsid w:val="0002138A"/>
    <w:rsid w:val="0002764A"/>
    <w:rsid w:val="00035616"/>
    <w:rsid w:val="00035A9C"/>
    <w:rsid w:val="00041D80"/>
    <w:rsid w:val="000424A6"/>
    <w:rsid w:val="00043278"/>
    <w:rsid w:val="00044C71"/>
    <w:rsid w:val="00045699"/>
    <w:rsid w:val="00047AC3"/>
    <w:rsid w:val="000515AE"/>
    <w:rsid w:val="000558F6"/>
    <w:rsid w:val="00055F45"/>
    <w:rsid w:val="00057D49"/>
    <w:rsid w:val="000617C4"/>
    <w:rsid w:val="00062CF0"/>
    <w:rsid w:val="00064419"/>
    <w:rsid w:val="00065063"/>
    <w:rsid w:val="0007590F"/>
    <w:rsid w:val="0008235F"/>
    <w:rsid w:val="0008485F"/>
    <w:rsid w:val="00085112"/>
    <w:rsid w:val="00086CF1"/>
    <w:rsid w:val="000927ED"/>
    <w:rsid w:val="000928F5"/>
    <w:rsid w:val="0009379D"/>
    <w:rsid w:val="000949D9"/>
    <w:rsid w:val="00097BDC"/>
    <w:rsid w:val="000A288F"/>
    <w:rsid w:val="000A3759"/>
    <w:rsid w:val="000B17DF"/>
    <w:rsid w:val="000B671B"/>
    <w:rsid w:val="000C0C7A"/>
    <w:rsid w:val="000C4153"/>
    <w:rsid w:val="000D4590"/>
    <w:rsid w:val="000D49E8"/>
    <w:rsid w:val="000E01EC"/>
    <w:rsid w:val="000E2F7F"/>
    <w:rsid w:val="000E4172"/>
    <w:rsid w:val="000F20D3"/>
    <w:rsid w:val="000F6D74"/>
    <w:rsid w:val="000F7AC0"/>
    <w:rsid w:val="001118B4"/>
    <w:rsid w:val="00112C41"/>
    <w:rsid w:val="00126042"/>
    <w:rsid w:val="00130B3D"/>
    <w:rsid w:val="00137737"/>
    <w:rsid w:val="00144469"/>
    <w:rsid w:val="00151BE9"/>
    <w:rsid w:val="00162D25"/>
    <w:rsid w:val="001634A0"/>
    <w:rsid w:val="001634BD"/>
    <w:rsid w:val="00165574"/>
    <w:rsid w:val="001675F5"/>
    <w:rsid w:val="001705C6"/>
    <w:rsid w:val="001730FC"/>
    <w:rsid w:val="00173E18"/>
    <w:rsid w:val="00181EAF"/>
    <w:rsid w:val="00185572"/>
    <w:rsid w:val="00185CF8"/>
    <w:rsid w:val="00192806"/>
    <w:rsid w:val="00193969"/>
    <w:rsid w:val="001963A6"/>
    <w:rsid w:val="001A2526"/>
    <w:rsid w:val="001A4BE8"/>
    <w:rsid w:val="001B4DE3"/>
    <w:rsid w:val="001B63F7"/>
    <w:rsid w:val="001C0307"/>
    <w:rsid w:val="001C1ADC"/>
    <w:rsid w:val="001C21D3"/>
    <w:rsid w:val="001C6F07"/>
    <w:rsid w:val="001D00EB"/>
    <w:rsid w:val="001D0DFD"/>
    <w:rsid w:val="001D18CE"/>
    <w:rsid w:val="001D3A70"/>
    <w:rsid w:val="001D5223"/>
    <w:rsid w:val="001D6A80"/>
    <w:rsid w:val="001D6DA0"/>
    <w:rsid w:val="001E1B32"/>
    <w:rsid w:val="001E288E"/>
    <w:rsid w:val="001E474D"/>
    <w:rsid w:val="001F49EC"/>
    <w:rsid w:val="00210569"/>
    <w:rsid w:val="002133D8"/>
    <w:rsid w:val="002163FE"/>
    <w:rsid w:val="002223A6"/>
    <w:rsid w:val="0022386B"/>
    <w:rsid w:val="002322B7"/>
    <w:rsid w:val="00233A36"/>
    <w:rsid w:val="00233E88"/>
    <w:rsid w:val="00234A64"/>
    <w:rsid w:val="00243B9F"/>
    <w:rsid w:val="00243F09"/>
    <w:rsid w:val="0025466A"/>
    <w:rsid w:val="00255949"/>
    <w:rsid w:val="00262DDF"/>
    <w:rsid w:val="002641D9"/>
    <w:rsid w:val="00264580"/>
    <w:rsid w:val="0026541C"/>
    <w:rsid w:val="002655B8"/>
    <w:rsid w:val="002663C3"/>
    <w:rsid w:val="00272BF5"/>
    <w:rsid w:val="00275DDC"/>
    <w:rsid w:val="002767A6"/>
    <w:rsid w:val="00276D9D"/>
    <w:rsid w:val="00276EC4"/>
    <w:rsid w:val="00280174"/>
    <w:rsid w:val="00280CBC"/>
    <w:rsid w:val="0028458B"/>
    <w:rsid w:val="002867CD"/>
    <w:rsid w:val="00287C81"/>
    <w:rsid w:val="00294526"/>
    <w:rsid w:val="00295F9B"/>
    <w:rsid w:val="002A7756"/>
    <w:rsid w:val="002B2874"/>
    <w:rsid w:val="002B3953"/>
    <w:rsid w:val="002B46AA"/>
    <w:rsid w:val="002B6B1E"/>
    <w:rsid w:val="002B7D65"/>
    <w:rsid w:val="002C0350"/>
    <w:rsid w:val="002C1E18"/>
    <w:rsid w:val="002C1EC1"/>
    <w:rsid w:val="002C2804"/>
    <w:rsid w:val="002C6805"/>
    <w:rsid w:val="002E1335"/>
    <w:rsid w:val="002E4429"/>
    <w:rsid w:val="002E4624"/>
    <w:rsid w:val="002E6805"/>
    <w:rsid w:val="002E7228"/>
    <w:rsid w:val="00303317"/>
    <w:rsid w:val="0030731C"/>
    <w:rsid w:val="00314BC1"/>
    <w:rsid w:val="003224EB"/>
    <w:rsid w:val="0032428B"/>
    <w:rsid w:val="00330101"/>
    <w:rsid w:val="00331CC3"/>
    <w:rsid w:val="00332D04"/>
    <w:rsid w:val="00336854"/>
    <w:rsid w:val="00336FFC"/>
    <w:rsid w:val="0034049D"/>
    <w:rsid w:val="00343CD4"/>
    <w:rsid w:val="00350A7F"/>
    <w:rsid w:val="00352926"/>
    <w:rsid w:val="003610C0"/>
    <w:rsid w:val="00364C81"/>
    <w:rsid w:val="00364F1C"/>
    <w:rsid w:val="00380210"/>
    <w:rsid w:val="00381AC8"/>
    <w:rsid w:val="0038244F"/>
    <w:rsid w:val="0038660E"/>
    <w:rsid w:val="003909B4"/>
    <w:rsid w:val="003A4D5C"/>
    <w:rsid w:val="003A6477"/>
    <w:rsid w:val="003B18E9"/>
    <w:rsid w:val="003B19A7"/>
    <w:rsid w:val="003B3E1C"/>
    <w:rsid w:val="003B7509"/>
    <w:rsid w:val="003C5F7E"/>
    <w:rsid w:val="003C62EA"/>
    <w:rsid w:val="003D0A36"/>
    <w:rsid w:val="003D5E25"/>
    <w:rsid w:val="003D60A8"/>
    <w:rsid w:val="003E041E"/>
    <w:rsid w:val="003E318F"/>
    <w:rsid w:val="003F1303"/>
    <w:rsid w:val="003F292F"/>
    <w:rsid w:val="003F2BC4"/>
    <w:rsid w:val="003F2E59"/>
    <w:rsid w:val="003F368D"/>
    <w:rsid w:val="003F6732"/>
    <w:rsid w:val="00402190"/>
    <w:rsid w:val="00402ECD"/>
    <w:rsid w:val="00403B9B"/>
    <w:rsid w:val="00407F76"/>
    <w:rsid w:val="00413688"/>
    <w:rsid w:val="004163B5"/>
    <w:rsid w:val="004169D7"/>
    <w:rsid w:val="00420AC0"/>
    <w:rsid w:val="0042508C"/>
    <w:rsid w:val="00430D45"/>
    <w:rsid w:val="00431235"/>
    <w:rsid w:val="00431688"/>
    <w:rsid w:val="00437E99"/>
    <w:rsid w:val="0044071D"/>
    <w:rsid w:val="004451BC"/>
    <w:rsid w:val="0045006D"/>
    <w:rsid w:val="00452F06"/>
    <w:rsid w:val="0045422D"/>
    <w:rsid w:val="0046249B"/>
    <w:rsid w:val="00462AB9"/>
    <w:rsid w:val="00470234"/>
    <w:rsid w:val="004706E0"/>
    <w:rsid w:val="004715F8"/>
    <w:rsid w:val="00472517"/>
    <w:rsid w:val="00482F63"/>
    <w:rsid w:val="00484A34"/>
    <w:rsid w:val="0049078B"/>
    <w:rsid w:val="00491F36"/>
    <w:rsid w:val="00495CC2"/>
    <w:rsid w:val="00497273"/>
    <w:rsid w:val="004A129B"/>
    <w:rsid w:val="004A2701"/>
    <w:rsid w:val="004B6064"/>
    <w:rsid w:val="004B6B20"/>
    <w:rsid w:val="004C181C"/>
    <w:rsid w:val="004C468D"/>
    <w:rsid w:val="004E19EB"/>
    <w:rsid w:val="004E6239"/>
    <w:rsid w:val="005031FC"/>
    <w:rsid w:val="00506A63"/>
    <w:rsid w:val="00513C85"/>
    <w:rsid w:val="00522646"/>
    <w:rsid w:val="005318AA"/>
    <w:rsid w:val="005360BD"/>
    <w:rsid w:val="005367AF"/>
    <w:rsid w:val="00536BF4"/>
    <w:rsid w:val="0054229A"/>
    <w:rsid w:val="005479A1"/>
    <w:rsid w:val="00553BCC"/>
    <w:rsid w:val="0055578B"/>
    <w:rsid w:val="005579D5"/>
    <w:rsid w:val="00561197"/>
    <w:rsid w:val="005645C4"/>
    <w:rsid w:val="00565CC0"/>
    <w:rsid w:val="00566A98"/>
    <w:rsid w:val="005704F6"/>
    <w:rsid w:val="00570F90"/>
    <w:rsid w:val="00571103"/>
    <w:rsid w:val="005807FB"/>
    <w:rsid w:val="00587538"/>
    <w:rsid w:val="00595468"/>
    <w:rsid w:val="005A0576"/>
    <w:rsid w:val="005A0F60"/>
    <w:rsid w:val="005A3B2A"/>
    <w:rsid w:val="005A47D8"/>
    <w:rsid w:val="005A5C27"/>
    <w:rsid w:val="005A668E"/>
    <w:rsid w:val="005B0E8B"/>
    <w:rsid w:val="005B3DF1"/>
    <w:rsid w:val="005B65BC"/>
    <w:rsid w:val="005B7D70"/>
    <w:rsid w:val="005C38BE"/>
    <w:rsid w:val="005C443F"/>
    <w:rsid w:val="005C63D1"/>
    <w:rsid w:val="005D03B0"/>
    <w:rsid w:val="005D0866"/>
    <w:rsid w:val="005D216D"/>
    <w:rsid w:val="005D2419"/>
    <w:rsid w:val="005D3FF2"/>
    <w:rsid w:val="005E1076"/>
    <w:rsid w:val="005F0077"/>
    <w:rsid w:val="005F7AB2"/>
    <w:rsid w:val="0060211C"/>
    <w:rsid w:val="00605C02"/>
    <w:rsid w:val="006140E0"/>
    <w:rsid w:val="00616C30"/>
    <w:rsid w:val="006215F3"/>
    <w:rsid w:val="006302E4"/>
    <w:rsid w:val="00642C2B"/>
    <w:rsid w:val="0064414F"/>
    <w:rsid w:val="006453ED"/>
    <w:rsid w:val="006462C6"/>
    <w:rsid w:val="00650DA9"/>
    <w:rsid w:val="00653817"/>
    <w:rsid w:val="00657609"/>
    <w:rsid w:val="00657AA7"/>
    <w:rsid w:val="00657E10"/>
    <w:rsid w:val="00670991"/>
    <w:rsid w:val="00672D05"/>
    <w:rsid w:val="00680589"/>
    <w:rsid w:val="00680EF9"/>
    <w:rsid w:val="006819B9"/>
    <w:rsid w:val="00687F0F"/>
    <w:rsid w:val="0069020C"/>
    <w:rsid w:val="00692127"/>
    <w:rsid w:val="00693B13"/>
    <w:rsid w:val="00696D1F"/>
    <w:rsid w:val="006A3930"/>
    <w:rsid w:val="006A5123"/>
    <w:rsid w:val="006B28CA"/>
    <w:rsid w:val="006B4C35"/>
    <w:rsid w:val="006B4CEA"/>
    <w:rsid w:val="006B51F8"/>
    <w:rsid w:val="006B6981"/>
    <w:rsid w:val="006B74ED"/>
    <w:rsid w:val="006C1D8C"/>
    <w:rsid w:val="006C5081"/>
    <w:rsid w:val="006C510C"/>
    <w:rsid w:val="006C5F42"/>
    <w:rsid w:val="006D2351"/>
    <w:rsid w:val="006D3FFA"/>
    <w:rsid w:val="006D4A6F"/>
    <w:rsid w:val="006D4EF7"/>
    <w:rsid w:val="006D5C6F"/>
    <w:rsid w:val="006D6497"/>
    <w:rsid w:val="006E5ED6"/>
    <w:rsid w:val="006E6D21"/>
    <w:rsid w:val="006F0D78"/>
    <w:rsid w:val="006F1BD8"/>
    <w:rsid w:val="006F3145"/>
    <w:rsid w:val="006F4B8B"/>
    <w:rsid w:val="006F51E1"/>
    <w:rsid w:val="007027B8"/>
    <w:rsid w:val="0071272D"/>
    <w:rsid w:val="007133DA"/>
    <w:rsid w:val="00724BCC"/>
    <w:rsid w:val="007271AD"/>
    <w:rsid w:val="007307E4"/>
    <w:rsid w:val="00730A81"/>
    <w:rsid w:val="00731565"/>
    <w:rsid w:val="00732167"/>
    <w:rsid w:val="00733E85"/>
    <w:rsid w:val="0074052A"/>
    <w:rsid w:val="00742156"/>
    <w:rsid w:val="00752311"/>
    <w:rsid w:val="00757395"/>
    <w:rsid w:val="00760533"/>
    <w:rsid w:val="007653D3"/>
    <w:rsid w:val="007654F7"/>
    <w:rsid w:val="0076630C"/>
    <w:rsid w:val="00767388"/>
    <w:rsid w:val="007707F3"/>
    <w:rsid w:val="00774E38"/>
    <w:rsid w:val="00775C7C"/>
    <w:rsid w:val="00786140"/>
    <w:rsid w:val="007A4B4E"/>
    <w:rsid w:val="007B30C6"/>
    <w:rsid w:val="007C2010"/>
    <w:rsid w:val="007C4BEB"/>
    <w:rsid w:val="007C611E"/>
    <w:rsid w:val="007C7FC2"/>
    <w:rsid w:val="007D5AEF"/>
    <w:rsid w:val="007E0586"/>
    <w:rsid w:val="007E11C0"/>
    <w:rsid w:val="007E2996"/>
    <w:rsid w:val="007E5230"/>
    <w:rsid w:val="007E604F"/>
    <w:rsid w:val="007F1C9A"/>
    <w:rsid w:val="007F5A2B"/>
    <w:rsid w:val="008038EF"/>
    <w:rsid w:val="00803EDC"/>
    <w:rsid w:val="00805A6B"/>
    <w:rsid w:val="00806757"/>
    <w:rsid w:val="0081006E"/>
    <w:rsid w:val="00822AC1"/>
    <w:rsid w:val="00822E29"/>
    <w:rsid w:val="00826298"/>
    <w:rsid w:val="00826F95"/>
    <w:rsid w:val="00827977"/>
    <w:rsid w:val="00831577"/>
    <w:rsid w:val="0083498E"/>
    <w:rsid w:val="008365C3"/>
    <w:rsid w:val="00837756"/>
    <w:rsid w:val="008442D4"/>
    <w:rsid w:val="00844B18"/>
    <w:rsid w:val="008501D5"/>
    <w:rsid w:val="00850D64"/>
    <w:rsid w:val="008520EB"/>
    <w:rsid w:val="00854479"/>
    <w:rsid w:val="008565B8"/>
    <w:rsid w:val="0086244A"/>
    <w:rsid w:val="008628DC"/>
    <w:rsid w:val="008659CB"/>
    <w:rsid w:val="008704C9"/>
    <w:rsid w:val="00877999"/>
    <w:rsid w:val="00880067"/>
    <w:rsid w:val="008807D8"/>
    <w:rsid w:val="00881B74"/>
    <w:rsid w:val="00882861"/>
    <w:rsid w:val="00883698"/>
    <w:rsid w:val="00884DB6"/>
    <w:rsid w:val="00886AFF"/>
    <w:rsid w:val="00886BE2"/>
    <w:rsid w:val="0088746B"/>
    <w:rsid w:val="00892AAF"/>
    <w:rsid w:val="00893CF8"/>
    <w:rsid w:val="008970D4"/>
    <w:rsid w:val="008A155B"/>
    <w:rsid w:val="008A5757"/>
    <w:rsid w:val="008B0F9C"/>
    <w:rsid w:val="008C38CB"/>
    <w:rsid w:val="008D0452"/>
    <w:rsid w:val="008D0879"/>
    <w:rsid w:val="008D4382"/>
    <w:rsid w:val="008F22A2"/>
    <w:rsid w:val="008F3221"/>
    <w:rsid w:val="008F5350"/>
    <w:rsid w:val="008F7361"/>
    <w:rsid w:val="009000F2"/>
    <w:rsid w:val="00900E94"/>
    <w:rsid w:val="009024DB"/>
    <w:rsid w:val="009073FF"/>
    <w:rsid w:val="009106F0"/>
    <w:rsid w:val="0091207E"/>
    <w:rsid w:val="00912686"/>
    <w:rsid w:val="009140F6"/>
    <w:rsid w:val="00915038"/>
    <w:rsid w:val="00916961"/>
    <w:rsid w:val="00926A94"/>
    <w:rsid w:val="0093218A"/>
    <w:rsid w:val="009324C8"/>
    <w:rsid w:val="00933F5A"/>
    <w:rsid w:val="00936137"/>
    <w:rsid w:val="0093756A"/>
    <w:rsid w:val="00943A3F"/>
    <w:rsid w:val="00947E2B"/>
    <w:rsid w:val="00950198"/>
    <w:rsid w:val="00953AC0"/>
    <w:rsid w:val="00954D2A"/>
    <w:rsid w:val="009561EF"/>
    <w:rsid w:val="009609A4"/>
    <w:rsid w:val="0097031C"/>
    <w:rsid w:val="00970363"/>
    <w:rsid w:val="00970A1C"/>
    <w:rsid w:val="009757DF"/>
    <w:rsid w:val="009762C1"/>
    <w:rsid w:val="009824A2"/>
    <w:rsid w:val="00982A21"/>
    <w:rsid w:val="00984222"/>
    <w:rsid w:val="0099102D"/>
    <w:rsid w:val="009960C0"/>
    <w:rsid w:val="00997D40"/>
    <w:rsid w:val="009A230B"/>
    <w:rsid w:val="009B08DE"/>
    <w:rsid w:val="009B128C"/>
    <w:rsid w:val="009B23E8"/>
    <w:rsid w:val="009B7D37"/>
    <w:rsid w:val="009C055F"/>
    <w:rsid w:val="009C0A34"/>
    <w:rsid w:val="009C538B"/>
    <w:rsid w:val="009D04E1"/>
    <w:rsid w:val="009D0E79"/>
    <w:rsid w:val="009D173B"/>
    <w:rsid w:val="009D69FD"/>
    <w:rsid w:val="009E607F"/>
    <w:rsid w:val="009F1006"/>
    <w:rsid w:val="009F374B"/>
    <w:rsid w:val="009F4451"/>
    <w:rsid w:val="009F49EA"/>
    <w:rsid w:val="009F65DB"/>
    <w:rsid w:val="009F6E06"/>
    <w:rsid w:val="00A020D9"/>
    <w:rsid w:val="00A07F5E"/>
    <w:rsid w:val="00A17C8D"/>
    <w:rsid w:val="00A24EF2"/>
    <w:rsid w:val="00A253A1"/>
    <w:rsid w:val="00A254E5"/>
    <w:rsid w:val="00A25768"/>
    <w:rsid w:val="00A27788"/>
    <w:rsid w:val="00A31310"/>
    <w:rsid w:val="00A416DE"/>
    <w:rsid w:val="00A50582"/>
    <w:rsid w:val="00A55E27"/>
    <w:rsid w:val="00A64091"/>
    <w:rsid w:val="00A64841"/>
    <w:rsid w:val="00A7137E"/>
    <w:rsid w:val="00A76D31"/>
    <w:rsid w:val="00A823B5"/>
    <w:rsid w:val="00A86F3F"/>
    <w:rsid w:val="00A87EC8"/>
    <w:rsid w:val="00A90662"/>
    <w:rsid w:val="00A907CA"/>
    <w:rsid w:val="00A91F87"/>
    <w:rsid w:val="00A9322D"/>
    <w:rsid w:val="00A93E4B"/>
    <w:rsid w:val="00A949E4"/>
    <w:rsid w:val="00AA0CB1"/>
    <w:rsid w:val="00AB1B96"/>
    <w:rsid w:val="00AB55BC"/>
    <w:rsid w:val="00AD4D52"/>
    <w:rsid w:val="00AE1D81"/>
    <w:rsid w:val="00AE5206"/>
    <w:rsid w:val="00AE52D4"/>
    <w:rsid w:val="00AF25AD"/>
    <w:rsid w:val="00B05A5E"/>
    <w:rsid w:val="00B07FF6"/>
    <w:rsid w:val="00B16F1A"/>
    <w:rsid w:val="00B17279"/>
    <w:rsid w:val="00B21F75"/>
    <w:rsid w:val="00B22D11"/>
    <w:rsid w:val="00B2503D"/>
    <w:rsid w:val="00B302E3"/>
    <w:rsid w:val="00B40035"/>
    <w:rsid w:val="00B40955"/>
    <w:rsid w:val="00B4376D"/>
    <w:rsid w:val="00B51A14"/>
    <w:rsid w:val="00B533BA"/>
    <w:rsid w:val="00B533EA"/>
    <w:rsid w:val="00B53EF2"/>
    <w:rsid w:val="00B63CAD"/>
    <w:rsid w:val="00B65061"/>
    <w:rsid w:val="00B67777"/>
    <w:rsid w:val="00B7141E"/>
    <w:rsid w:val="00B776D2"/>
    <w:rsid w:val="00B92B8E"/>
    <w:rsid w:val="00BA3D1F"/>
    <w:rsid w:val="00BA4B74"/>
    <w:rsid w:val="00BA6292"/>
    <w:rsid w:val="00BA7E9A"/>
    <w:rsid w:val="00BB5930"/>
    <w:rsid w:val="00BB7F35"/>
    <w:rsid w:val="00BC044F"/>
    <w:rsid w:val="00BC4E4F"/>
    <w:rsid w:val="00BD17EB"/>
    <w:rsid w:val="00BD6FB9"/>
    <w:rsid w:val="00BE0B49"/>
    <w:rsid w:val="00BE3C35"/>
    <w:rsid w:val="00BE40C8"/>
    <w:rsid w:val="00BE5C92"/>
    <w:rsid w:val="00BE6181"/>
    <w:rsid w:val="00BE663D"/>
    <w:rsid w:val="00BE6974"/>
    <w:rsid w:val="00BF21C0"/>
    <w:rsid w:val="00BF234C"/>
    <w:rsid w:val="00BF24AA"/>
    <w:rsid w:val="00BF48CF"/>
    <w:rsid w:val="00BF716E"/>
    <w:rsid w:val="00C0687C"/>
    <w:rsid w:val="00C10B4D"/>
    <w:rsid w:val="00C1581E"/>
    <w:rsid w:val="00C23E69"/>
    <w:rsid w:val="00C30C6C"/>
    <w:rsid w:val="00C31A80"/>
    <w:rsid w:val="00C32DD0"/>
    <w:rsid w:val="00C35844"/>
    <w:rsid w:val="00C46C1C"/>
    <w:rsid w:val="00C50AE8"/>
    <w:rsid w:val="00C52424"/>
    <w:rsid w:val="00C540EC"/>
    <w:rsid w:val="00C54BE2"/>
    <w:rsid w:val="00C56140"/>
    <w:rsid w:val="00C56816"/>
    <w:rsid w:val="00C671B7"/>
    <w:rsid w:val="00C672B1"/>
    <w:rsid w:val="00C700BF"/>
    <w:rsid w:val="00C820D3"/>
    <w:rsid w:val="00C823FB"/>
    <w:rsid w:val="00C8408B"/>
    <w:rsid w:val="00C8670B"/>
    <w:rsid w:val="00C92D89"/>
    <w:rsid w:val="00C96119"/>
    <w:rsid w:val="00C96700"/>
    <w:rsid w:val="00CA59B5"/>
    <w:rsid w:val="00CB040C"/>
    <w:rsid w:val="00CB2313"/>
    <w:rsid w:val="00CC2FB5"/>
    <w:rsid w:val="00CC53E4"/>
    <w:rsid w:val="00CD296C"/>
    <w:rsid w:val="00CD2E78"/>
    <w:rsid w:val="00CD63F6"/>
    <w:rsid w:val="00CE0BCB"/>
    <w:rsid w:val="00CE6977"/>
    <w:rsid w:val="00CE72D9"/>
    <w:rsid w:val="00CE7F53"/>
    <w:rsid w:val="00CF0B49"/>
    <w:rsid w:val="00CF0E22"/>
    <w:rsid w:val="00CF3CC4"/>
    <w:rsid w:val="00CF4673"/>
    <w:rsid w:val="00CF5235"/>
    <w:rsid w:val="00CF580F"/>
    <w:rsid w:val="00D032FC"/>
    <w:rsid w:val="00D041FF"/>
    <w:rsid w:val="00D04E61"/>
    <w:rsid w:val="00D15EF0"/>
    <w:rsid w:val="00D209DF"/>
    <w:rsid w:val="00D2258B"/>
    <w:rsid w:val="00D25031"/>
    <w:rsid w:val="00D25882"/>
    <w:rsid w:val="00D4565B"/>
    <w:rsid w:val="00D71D17"/>
    <w:rsid w:val="00D74116"/>
    <w:rsid w:val="00D82713"/>
    <w:rsid w:val="00D82C3A"/>
    <w:rsid w:val="00D91BA1"/>
    <w:rsid w:val="00D9627E"/>
    <w:rsid w:val="00D970AB"/>
    <w:rsid w:val="00DA0435"/>
    <w:rsid w:val="00DA1F4D"/>
    <w:rsid w:val="00DA3F0F"/>
    <w:rsid w:val="00DA587B"/>
    <w:rsid w:val="00DA597C"/>
    <w:rsid w:val="00DA64AF"/>
    <w:rsid w:val="00DB27BA"/>
    <w:rsid w:val="00DB3839"/>
    <w:rsid w:val="00DB3D4D"/>
    <w:rsid w:val="00DB495C"/>
    <w:rsid w:val="00DB5F04"/>
    <w:rsid w:val="00DB7015"/>
    <w:rsid w:val="00DC4E40"/>
    <w:rsid w:val="00DD01C2"/>
    <w:rsid w:val="00DD20D7"/>
    <w:rsid w:val="00DE0C55"/>
    <w:rsid w:val="00DE5C6E"/>
    <w:rsid w:val="00DE7838"/>
    <w:rsid w:val="00DF2B57"/>
    <w:rsid w:val="00DF2E90"/>
    <w:rsid w:val="00DF37AA"/>
    <w:rsid w:val="00DF5007"/>
    <w:rsid w:val="00DF5813"/>
    <w:rsid w:val="00DF6F08"/>
    <w:rsid w:val="00E01508"/>
    <w:rsid w:val="00E01BC0"/>
    <w:rsid w:val="00E02CBD"/>
    <w:rsid w:val="00E12A5D"/>
    <w:rsid w:val="00E150A0"/>
    <w:rsid w:val="00E16EB9"/>
    <w:rsid w:val="00E2067F"/>
    <w:rsid w:val="00E33C93"/>
    <w:rsid w:val="00E34D7F"/>
    <w:rsid w:val="00E34EA6"/>
    <w:rsid w:val="00E353DE"/>
    <w:rsid w:val="00E36AFC"/>
    <w:rsid w:val="00E41949"/>
    <w:rsid w:val="00E45F10"/>
    <w:rsid w:val="00E463C7"/>
    <w:rsid w:val="00E53EE8"/>
    <w:rsid w:val="00E571A1"/>
    <w:rsid w:val="00E6074D"/>
    <w:rsid w:val="00E64D08"/>
    <w:rsid w:val="00E67B42"/>
    <w:rsid w:val="00E71E81"/>
    <w:rsid w:val="00E74C43"/>
    <w:rsid w:val="00E8473A"/>
    <w:rsid w:val="00E86519"/>
    <w:rsid w:val="00E920CB"/>
    <w:rsid w:val="00E95A3A"/>
    <w:rsid w:val="00E95BCF"/>
    <w:rsid w:val="00E97BF2"/>
    <w:rsid w:val="00EA2E77"/>
    <w:rsid w:val="00EB1C1A"/>
    <w:rsid w:val="00EB3B24"/>
    <w:rsid w:val="00EB4E5F"/>
    <w:rsid w:val="00EC11BA"/>
    <w:rsid w:val="00EC12CA"/>
    <w:rsid w:val="00EC676D"/>
    <w:rsid w:val="00ED0143"/>
    <w:rsid w:val="00ED0575"/>
    <w:rsid w:val="00ED07BD"/>
    <w:rsid w:val="00ED47D6"/>
    <w:rsid w:val="00ED6639"/>
    <w:rsid w:val="00ED68D5"/>
    <w:rsid w:val="00EE3FB0"/>
    <w:rsid w:val="00EE4F5E"/>
    <w:rsid w:val="00EE5013"/>
    <w:rsid w:val="00EF489C"/>
    <w:rsid w:val="00EF7C67"/>
    <w:rsid w:val="00F003FC"/>
    <w:rsid w:val="00F00A10"/>
    <w:rsid w:val="00F04225"/>
    <w:rsid w:val="00F06B27"/>
    <w:rsid w:val="00F124C9"/>
    <w:rsid w:val="00F15063"/>
    <w:rsid w:val="00F22CB9"/>
    <w:rsid w:val="00F24157"/>
    <w:rsid w:val="00F26D59"/>
    <w:rsid w:val="00F30DEC"/>
    <w:rsid w:val="00F31D0F"/>
    <w:rsid w:val="00F34C8F"/>
    <w:rsid w:val="00F34E57"/>
    <w:rsid w:val="00F3549E"/>
    <w:rsid w:val="00F37069"/>
    <w:rsid w:val="00F403D7"/>
    <w:rsid w:val="00F4542C"/>
    <w:rsid w:val="00F459A8"/>
    <w:rsid w:val="00F4787A"/>
    <w:rsid w:val="00F50753"/>
    <w:rsid w:val="00F55525"/>
    <w:rsid w:val="00F5674C"/>
    <w:rsid w:val="00F6039A"/>
    <w:rsid w:val="00F62DDD"/>
    <w:rsid w:val="00F6588C"/>
    <w:rsid w:val="00F67A92"/>
    <w:rsid w:val="00F7299B"/>
    <w:rsid w:val="00F8461B"/>
    <w:rsid w:val="00F8642C"/>
    <w:rsid w:val="00F90299"/>
    <w:rsid w:val="00FA4338"/>
    <w:rsid w:val="00FB16F3"/>
    <w:rsid w:val="00FB244B"/>
    <w:rsid w:val="00FB7AF5"/>
    <w:rsid w:val="00FC37ED"/>
    <w:rsid w:val="00FC5AF8"/>
    <w:rsid w:val="00FD39E3"/>
    <w:rsid w:val="00FD7D4A"/>
    <w:rsid w:val="00FE04FC"/>
    <w:rsid w:val="00FF02FD"/>
    <w:rsid w:val="00FF147C"/>
    <w:rsid w:val="00FF1DF3"/>
    <w:rsid w:val="263847F6"/>
    <w:rsid w:val="284704AA"/>
    <w:rsid w:val="52F23C18"/>
    <w:rsid w:val="7E394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AutoShape 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3">
    <w:name w:val="annotation text"/>
    <w:basedOn w:val="1"/>
    <w:link w:val="37"/>
    <w:unhideWhenUsed/>
    <w:qFormat/>
    <w:uiPriority w:val="99"/>
    <w:pPr>
      <w:jc w:val="left"/>
    </w:pPr>
  </w:style>
  <w:style w:type="paragraph" w:styleId="4">
    <w:name w:val="Body Text"/>
    <w:basedOn w:val="1"/>
    <w:link w:val="33"/>
    <w:qFormat/>
    <w:uiPriority w:val="0"/>
    <w:pPr>
      <w:spacing w:after="120"/>
    </w:pPr>
    <w:rPr>
      <w:rFonts w:ascii="Calibri" w:hAnsi="Calibri"/>
      <w:szCs w:val="24"/>
    </w:rPr>
  </w:style>
  <w:style w:type="paragraph" w:styleId="5">
    <w:name w:val="Date"/>
    <w:basedOn w:val="1"/>
    <w:next w:val="1"/>
    <w:link w:val="31"/>
    <w:qFormat/>
    <w:uiPriority w:val="0"/>
    <w:pPr>
      <w:ind w:left="100" w:leftChars="2500"/>
    </w:pPr>
    <w:rPr>
      <w:rFonts w:ascii="Calibri" w:hAnsi="Calibri"/>
      <w:szCs w:val="24"/>
    </w:rPr>
  </w:style>
  <w:style w:type="paragraph" w:styleId="6">
    <w:name w:val="Balloon Text"/>
    <w:basedOn w:val="1"/>
    <w:link w:val="29"/>
    <w:unhideWhenUsed/>
    <w:qFormat/>
    <w:uiPriority w:val="99"/>
    <w:rPr>
      <w:sz w:val="18"/>
      <w:szCs w:val="18"/>
    </w:rPr>
  </w:style>
  <w:style w:type="paragraph" w:styleId="7">
    <w:name w:val="footer"/>
    <w:basedOn w:val="1"/>
    <w:link w:val="28"/>
    <w:unhideWhenUsed/>
    <w:qFormat/>
    <w:uiPriority w:val="99"/>
    <w:pPr>
      <w:tabs>
        <w:tab w:val="center" w:pos="4153"/>
        <w:tab w:val="right" w:pos="8306"/>
      </w:tabs>
      <w:snapToGrid w:val="0"/>
      <w:jc w:val="left"/>
    </w:pPr>
    <w:rPr>
      <w:sz w:val="18"/>
      <w:szCs w:val="18"/>
    </w:rPr>
  </w:style>
  <w:style w:type="paragraph" w:styleId="8">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left" w:pos="630"/>
        <w:tab w:val="right" w:leader="dot" w:pos="8296"/>
      </w:tabs>
    </w:pPr>
  </w:style>
  <w:style w:type="paragraph" w:styleId="10">
    <w:name w:val="Normal (Web)"/>
    <w:basedOn w:val="1"/>
    <w:unhideWhenUsed/>
    <w:qFormat/>
    <w:uiPriority w:val="99"/>
    <w:rPr>
      <w:rFonts w:ascii="Times New Roman" w:hAnsi="Times New Roman" w:cs="Times New Roman"/>
      <w:sz w:val="24"/>
      <w:szCs w:val="24"/>
    </w:rPr>
  </w:style>
  <w:style w:type="paragraph" w:styleId="11">
    <w:name w:val="Title"/>
    <w:basedOn w:val="1"/>
    <w:next w:val="1"/>
    <w:link w:val="24"/>
    <w:qFormat/>
    <w:uiPriority w:val="10"/>
    <w:pPr>
      <w:spacing w:before="240" w:after="60"/>
      <w:jc w:val="center"/>
      <w:outlineLvl w:val="0"/>
    </w:pPr>
    <w:rPr>
      <w:rFonts w:eastAsia="宋体" w:asciiTheme="majorHAnsi" w:hAnsiTheme="majorHAnsi" w:cstheme="majorBidi"/>
      <w:b/>
      <w:bCs/>
      <w:sz w:val="32"/>
      <w:szCs w:val="32"/>
    </w:rPr>
  </w:style>
  <w:style w:type="paragraph" w:styleId="12">
    <w:name w:val="annotation subject"/>
    <w:basedOn w:val="3"/>
    <w:next w:val="3"/>
    <w:link w:val="38"/>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563C1" w:themeColor="hyperlink"/>
      <w:u w:val="single"/>
    </w:rPr>
  </w:style>
  <w:style w:type="character" w:styleId="17">
    <w:name w:val="annotation reference"/>
    <w:semiHidden/>
    <w:qFormat/>
    <w:uiPriority w:val="0"/>
    <w:rPr>
      <w:sz w:val="21"/>
      <w:szCs w:val="21"/>
    </w:rPr>
  </w:style>
  <w:style w:type="paragraph" w:customStyle="1" w:styleId="18">
    <w:name w:val="List Paragraph"/>
    <w:basedOn w:val="1"/>
    <w:qFormat/>
    <w:uiPriority w:val="0"/>
    <w:pPr>
      <w:ind w:firstLine="420" w:firstLineChars="200"/>
    </w:pPr>
  </w:style>
  <w:style w:type="character" w:customStyle="1" w:styleId="19">
    <w:name w:val="f101"/>
    <w:qFormat/>
    <w:uiPriority w:val="0"/>
    <w:rPr>
      <w:spacing w:val="500"/>
      <w:sz w:val="24"/>
      <w:szCs w:val="24"/>
    </w:rPr>
  </w:style>
  <w:style w:type="paragraph" w:customStyle="1" w:styleId="20">
    <w:name w:val="王奕，内文"/>
    <w:basedOn w:val="10"/>
    <w:link w:val="21"/>
    <w:qFormat/>
    <w:uiPriority w:val="0"/>
    <w:pPr>
      <w:widowControl/>
      <w:spacing w:line="360" w:lineRule="auto"/>
      <w:ind w:firstLine="200" w:firstLineChars="200"/>
    </w:pPr>
    <w:rPr>
      <w:rFonts w:eastAsia="宋体" w:cs="MS Shell Dlg"/>
      <w:color w:val="000000"/>
      <w:kern w:val="0"/>
    </w:rPr>
  </w:style>
  <w:style w:type="character" w:customStyle="1" w:styleId="21">
    <w:name w:val="王奕，内文 Char"/>
    <w:basedOn w:val="15"/>
    <w:link w:val="20"/>
    <w:qFormat/>
    <w:locked/>
    <w:uiPriority w:val="99"/>
    <w:rPr>
      <w:rFonts w:ascii="Times New Roman" w:hAnsi="Times New Roman" w:eastAsia="宋体" w:cs="MS Shell Dlg"/>
      <w:color w:val="000000"/>
      <w:kern w:val="0"/>
      <w:sz w:val="24"/>
      <w:szCs w:val="24"/>
    </w:rPr>
  </w:style>
  <w:style w:type="paragraph" w:customStyle="1" w:styleId="22">
    <w:name w:val="二级标题"/>
    <w:basedOn w:val="1"/>
    <w:qFormat/>
    <w:uiPriority w:val="0"/>
    <w:pPr>
      <w:spacing w:line="520" w:lineRule="exact"/>
      <w:ind w:firstLine="200" w:firstLineChars="200"/>
      <w:outlineLvl w:val="0"/>
    </w:pPr>
    <w:rPr>
      <w:rFonts w:ascii="楷体" w:hAnsi="楷体" w:eastAsia="楷体" w:cs="楷体_GB2312"/>
      <w:sz w:val="32"/>
      <w:szCs w:val="28"/>
    </w:rPr>
  </w:style>
  <w:style w:type="paragraph" w:customStyle="1" w:styleId="23">
    <w:name w:val="正文1"/>
    <w:basedOn w:val="1"/>
    <w:qFormat/>
    <w:uiPriority w:val="0"/>
    <w:pPr>
      <w:spacing w:line="520" w:lineRule="exact"/>
      <w:ind w:firstLine="200" w:firstLineChars="200"/>
    </w:pPr>
    <w:rPr>
      <w:rFonts w:ascii="Times New Roman" w:hAnsi="Times New Roman" w:eastAsia="仿宋" w:cs="Times New Roman"/>
      <w:sz w:val="32"/>
      <w:szCs w:val="28"/>
    </w:rPr>
  </w:style>
  <w:style w:type="character" w:customStyle="1" w:styleId="24">
    <w:name w:val="标题 Char"/>
    <w:basedOn w:val="15"/>
    <w:link w:val="11"/>
    <w:qFormat/>
    <w:uiPriority w:val="10"/>
    <w:rPr>
      <w:rFonts w:eastAsia="宋体" w:asciiTheme="majorHAnsi" w:hAnsiTheme="majorHAnsi" w:cstheme="majorBidi"/>
      <w:b/>
      <w:bCs/>
      <w:sz w:val="32"/>
      <w:szCs w:val="32"/>
    </w:rPr>
  </w:style>
  <w:style w:type="character" w:customStyle="1" w:styleId="25">
    <w:name w:val="标题 1 Char"/>
    <w:basedOn w:val="15"/>
    <w:link w:val="2"/>
    <w:qFormat/>
    <w:uiPriority w:val="9"/>
    <w:rPr>
      <w:b/>
      <w:bCs/>
      <w:kern w:val="44"/>
      <w:sz w:val="44"/>
      <w:szCs w:val="44"/>
    </w:rPr>
  </w:style>
  <w:style w:type="paragraph" w:customStyle="1" w:styleId="2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27">
    <w:name w:val="页眉 Char"/>
    <w:basedOn w:val="15"/>
    <w:link w:val="8"/>
    <w:qFormat/>
    <w:uiPriority w:val="99"/>
    <w:rPr>
      <w:sz w:val="18"/>
      <w:szCs w:val="18"/>
    </w:rPr>
  </w:style>
  <w:style w:type="character" w:customStyle="1" w:styleId="28">
    <w:name w:val="页脚 Char"/>
    <w:basedOn w:val="15"/>
    <w:link w:val="7"/>
    <w:uiPriority w:val="99"/>
    <w:rPr>
      <w:sz w:val="18"/>
      <w:szCs w:val="18"/>
    </w:rPr>
  </w:style>
  <w:style w:type="character" w:customStyle="1" w:styleId="29">
    <w:name w:val="批注框文本 Char"/>
    <w:basedOn w:val="15"/>
    <w:link w:val="6"/>
    <w:semiHidden/>
    <w:uiPriority w:val="99"/>
    <w:rPr>
      <w:sz w:val="18"/>
      <w:szCs w:val="18"/>
    </w:rPr>
  </w:style>
  <w:style w:type="character" w:customStyle="1" w:styleId="30">
    <w:name w:val="apple-converted-space"/>
    <w:basedOn w:val="15"/>
    <w:uiPriority w:val="0"/>
  </w:style>
  <w:style w:type="character" w:customStyle="1" w:styleId="31">
    <w:name w:val="日期 Char1"/>
    <w:link w:val="5"/>
    <w:uiPriority w:val="0"/>
    <w:rPr>
      <w:rFonts w:ascii="Calibri" w:hAnsi="Calibri"/>
      <w:szCs w:val="24"/>
    </w:rPr>
  </w:style>
  <w:style w:type="character" w:customStyle="1" w:styleId="32">
    <w:name w:val="日期 Char"/>
    <w:basedOn w:val="15"/>
    <w:semiHidden/>
    <w:qFormat/>
    <w:uiPriority w:val="99"/>
  </w:style>
  <w:style w:type="character" w:customStyle="1" w:styleId="33">
    <w:name w:val="正文文本 Char1"/>
    <w:link w:val="4"/>
    <w:uiPriority w:val="0"/>
    <w:rPr>
      <w:rFonts w:ascii="Calibri" w:hAnsi="Calibri"/>
      <w:szCs w:val="24"/>
    </w:rPr>
  </w:style>
  <w:style w:type="character" w:customStyle="1" w:styleId="34">
    <w:name w:val="正文文本 Char"/>
    <w:basedOn w:val="15"/>
    <w:semiHidden/>
    <w:uiPriority w:val="99"/>
  </w:style>
  <w:style w:type="character" w:customStyle="1" w:styleId="35">
    <w:name w:val="16"/>
    <w:uiPriority w:val="0"/>
    <w:rPr>
      <w:rFonts w:hint="default" w:ascii="Calibri" w:hAnsi="Calibri" w:cs="Calibri"/>
    </w:rPr>
  </w:style>
  <w:style w:type="paragraph" w:customStyle="1" w:styleId="36">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37">
    <w:name w:val="批注文字 Char"/>
    <w:basedOn w:val="15"/>
    <w:link w:val="3"/>
    <w:semiHidden/>
    <w:uiPriority w:val="99"/>
    <w:rPr>
      <w:rFonts w:asciiTheme="minorHAnsi" w:hAnsiTheme="minorHAnsi" w:eastAsiaTheme="minorEastAsia" w:cstheme="minorBidi"/>
      <w:kern w:val="2"/>
      <w:sz w:val="21"/>
      <w:szCs w:val="22"/>
    </w:rPr>
  </w:style>
  <w:style w:type="character" w:customStyle="1" w:styleId="38">
    <w:name w:val="批注主题 Char"/>
    <w:basedOn w:val="37"/>
    <w:link w:val="12"/>
    <w:semiHidden/>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C60B33-E231-4923-A649-43AD05D9F93A}">
  <ds:schemaRefs/>
</ds:datastoreItem>
</file>

<file path=docProps/app.xml><?xml version="1.0" encoding="utf-8"?>
<Properties xmlns="http://schemas.openxmlformats.org/officeDocument/2006/extended-properties" xmlns:vt="http://schemas.openxmlformats.org/officeDocument/2006/docPropsVTypes">
  <Template>Normal</Template>
  <Pages>21</Pages>
  <Words>8554</Words>
  <Characters>9022</Characters>
  <Lines>69</Lines>
  <Paragraphs>19</Paragraphs>
  <TotalTime>1</TotalTime>
  <ScaleCrop>false</ScaleCrop>
  <LinksUpToDate>false</LinksUpToDate>
  <CharactersWithSpaces>9112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2021-11-01T03:14:00Z</dcterms:created>
  <dc:creator>谭小柳</dc:creator>
  <cp:lastModifiedBy>微信用户</cp:lastModifiedBy>
  <dcterms:modified xsi:type="dcterms:W3CDTF">2025-05-22T06:53:09Z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eyJoZGlkIjoiMGQ3NGEwNGVlYjIwM2VhMDVlZGI5ZDQ2Mjg1MmE2YWEiLCJ1c2VySWQiOiIxMjE0MDQzOTY3In0=</vt:lpwstr>
  </property>
  <property fmtid="{D5CDD505-2E9C-101B-9397-08002B2CF9AE}" pid="4" name="ICV">
    <vt:lpwstr>C5C4C89C2BBA4CC5924E02ECDCA21CBA_12</vt:lpwstr>
  </property>
</Properties>
</file>